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单元八 护理科研中的伦理分析</w:t>
      </w:r>
      <w:bookmarkStart w:id="1" w:name="_GoBack"/>
      <w:bookmarkEnd w:id="1"/>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4"/>
        <w:gridCol w:w="2131"/>
        <w:gridCol w:w="1751"/>
        <w:gridCol w:w="590"/>
        <w:gridCol w:w="1510"/>
        <w:gridCol w:w="57"/>
        <w:gridCol w:w="3089"/>
        <w:gridCol w:w="30"/>
      </w:tblGrid>
      <w:tr w14:paraId="4F2C2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69C089F9">
            <w:pPr>
              <w:spacing w:line="360" w:lineRule="auto"/>
              <w:jc w:val="center"/>
              <w:rPr>
                <w:rFonts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3C774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14" w:type="dxa"/>
            <w:shd w:val="clear" w:color="auto" w:fill="DEEBF6"/>
            <w:vAlign w:val="center"/>
          </w:tcPr>
          <w:p w14:paraId="56C52DF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课程名称</w:t>
            </w:r>
          </w:p>
        </w:tc>
        <w:tc>
          <w:tcPr>
            <w:tcW w:w="4472" w:type="dxa"/>
            <w:gridSpan w:val="3"/>
            <w:shd w:val="clear" w:color="auto" w:fill="auto"/>
            <w:vAlign w:val="center"/>
          </w:tcPr>
          <w:p w14:paraId="0DA18CCB">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6CAC6CD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3"/>
            <w:vAlign w:val="center"/>
          </w:tcPr>
          <w:p w14:paraId="34921757">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普专护理学生</w:t>
            </w:r>
          </w:p>
        </w:tc>
      </w:tr>
      <w:tr w14:paraId="2AFE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14" w:type="dxa"/>
            <w:shd w:val="clear" w:color="auto" w:fill="DEEBF6"/>
            <w:vAlign w:val="center"/>
          </w:tcPr>
          <w:p w14:paraId="3F13749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课程类型</w:t>
            </w:r>
          </w:p>
        </w:tc>
        <w:tc>
          <w:tcPr>
            <w:tcW w:w="4472" w:type="dxa"/>
            <w:gridSpan w:val="3"/>
            <w:shd w:val="clear" w:color="auto" w:fill="auto"/>
            <w:vAlign w:val="center"/>
          </w:tcPr>
          <w:p w14:paraId="0452EB1C">
            <w:pPr>
              <w:spacing w:line="360" w:lineRule="auto"/>
              <w:jc w:val="both"/>
              <w:rPr>
                <w:rFonts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6E0DE80B">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3"/>
            <w:vAlign w:val="center"/>
          </w:tcPr>
          <w:p w14:paraId="1B58B015">
            <w:pPr>
              <w:spacing w:line="360" w:lineRule="auto"/>
              <w:jc w:val="both"/>
              <w:rPr>
                <w:rFonts w:ascii="仿宋" w:hAnsi="仿宋" w:eastAsia="仿宋" w:cs="仿宋"/>
                <w:b/>
                <w:bCs/>
                <w:sz w:val="28"/>
                <w:szCs w:val="28"/>
              </w:rPr>
            </w:pPr>
            <w:r>
              <w:rPr>
                <w:rFonts w:hint="eastAsia" w:ascii="仿宋" w:hAnsi="仿宋" w:eastAsia="仿宋" w:cs="仿宋"/>
                <w:b/>
                <w:bCs/>
                <w:sz w:val="28"/>
                <w:szCs w:val="28"/>
              </w:rPr>
              <w:t>3学时（135分钟）</w:t>
            </w:r>
          </w:p>
        </w:tc>
      </w:tr>
      <w:tr w14:paraId="77391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14" w:type="dxa"/>
            <w:shd w:val="clear" w:color="auto" w:fill="DEEBF6"/>
            <w:vAlign w:val="center"/>
          </w:tcPr>
          <w:p w14:paraId="0AFAA88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授课内容</w:t>
            </w:r>
          </w:p>
        </w:tc>
        <w:tc>
          <w:tcPr>
            <w:tcW w:w="4472" w:type="dxa"/>
            <w:gridSpan w:val="3"/>
            <w:shd w:val="clear" w:color="auto" w:fill="auto"/>
            <w:vAlign w:val="center"/>
          </w:tcPr>
          <w:p w14:paraId="74E8D573">
            <w:pPr>
              <w:spacing w:line="360" w:lineRule="auto"/>
              <w:jc w:val="both"/>
              <w:rPr>
                <w:rFonts w:ascii="仿宋" w:hAnsi="仿宋" w:eastAsia="仿宋" w:cs="仿宋"/>
                <w:b/>
                <w:bCs/>
                <w:sz w:val="24"/>
                <w:szCs w:val="24"/>
              </w:rPr>
            </w:pPr>
            <w:r>
              <w:rPr>
                <w:rFonts w:hint="eastAsia" w:ascii="仿宋" w:hAnsi="仿宋" w:eastAsia="仿宋" w:cs="仿宋"/>
                <w:b/>
                <w:bCs/>
                <w:sz w:val="24"/>
                <w:szCs w:val="24"/>
              </w:rPr>
              <w:t>任务一 护理科研的概述</w:t>
            </w:r>
          </w:p>
          <w:p w14:paraId="62A604A9">
            <w:pPr>
              <w:spacing w:line="360" w:lineRule="auto"/>
              <w:jc w:val="both"/>
              <w:rPr>
                <w:rFonts w:ascii="仿宋" w:hAnsi="仿宋" w:eastAsia="仿宋" w:cs="仿宋"/>
                <w:b/>
                <w:bCs/>
                <w:sz w:val="24"/>
                <w:szCs w:val="24"/>
              </w:rPr>
            </w:pPr>
            <w:r>
              <w:rPr>
                <w:rFonts w:hint="eastAsia" w:ascii="仿宋" w:hAnsi="仿宋" w:eastAsia="仿宋" w:cs="仿宋"/>
                <w:b/>
                <w:bCs/>
                <w:sz w:val="24"/>
                <w:szCs w:val="24"/>
              </w:rPr>
              <w:t>任务二 人体实验伦理</w:t>
            </w:r>
          </w:p>
          <w:p w14:paraId="0EB9C77B">
            <w:pPr>
              <w:spacing w:line="360" w:lineRule="auto"/>
              <w:jc w:val="both"/>
              <w:rPr>
                <w:rFonts w:ascii="仿宋" w:hAnsi="仿宋" w:eastAsia="仿宋" w:cs="仿宋"/>
                <w:b/>
                <w:bCs/>
                <w:sz w:val="18"/>
                <w:szCs w:val="18"/>
              </w:rPr>
            </w:pPr>
            <w:r>
              <w:rPr>
                <w:rFonts w:hint="eastAsia" w:ascii="仿宋" w:hAnsi="仿宋" w:eastAsia="仿宋" w:cs="仿宋"/>
                <w:b/>
                <w:bCs/>
                <w:sz w:val="24"/>
                <w:szCs w:val="24"/>
              </w:rPr>
              <w:t>任务三 科研越轨行为的伤害及社会控制</w:t>
            </w:r>
          </w:p>
        </w:tc>
        <w:tc>
          <w:tcPr>
            <w:tcW w:w="1510" w:type="dxa"/>
            <w:shd w:val="clear" w:color="auto" w:fill="DEEBF6"/>
            <w:vAlign w:val="center"/>
          </w:tcPr>
          <w:p w14:paraId="7B557F8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3"/>
            <w:vAlign w:val="center"/>
          </w:tcPr>
          <w:p w14:paraId="3ACA9FC6">
            <w:pPr>
              <w:spacing w:line="360" w:lineRule="auto"/>
              <w:jc w:val="both"/>
              <w:rPr>
                <w:rFonts w:ascii="仿宋" w:hAnsi="仿宋" w:eastAsia="仿宋" w:cs="仿宋"/>
                <w:b/>
                <w:bCs/>
                <w:sz w:val="28"/>
                <w:szCs w:val="28"/>
              </w:rPr>
            </w:pPr>
            <w:r>
              <w:rPr>
                <w:rFonts w:hint="eastAsia" w:ascii="仿宋" w:hAnsi="仿宋" w:eastAsia="仿宋" w:cs="仿宋"/>
                <w:b/>
                <w:bCs/>
                <w:sz w:val="28"/>
                <w:szCs w:val="28"/>
              </w:rPr>
              <w:t>理论</w:t>
            </w:r>
          </w:p>
        </w:tc>
      </w:tr>
      <w:tr w14:paraId="0D1BF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284A260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（二）教学目标</w:t>
            </w:r>
          </w:p>
        </w:tc>
      </w:tr>
      <w:tr w14:paraId="36802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shd w:val="clear" w:color="auto" w:fill="DEEBF6"/>
          </w:tcPr>
          <w:p w14:paraId="4EEF0E6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知识目标</w:t>
            </w:r>
          </w:p>
        </w:tc>
        <w:tc>
          <w:tcPr>
            <w:tcW w:w="3908" w:type="dxa"/>
            <w:gridSpan w:val="4"/>
            <w:shd w:val="clear" w:color="auto" w:fill="DEEBF6"/>
          </w:tcPr>
          <w:p w14:paraId="7D23CD6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能力目标</w:t>
            </w:r>
          </w:p>
        </w:tc>
        <w:tc>
          <w:tcPr>
            <w:tcW w:w="3119" w:type="dxa"/>
            <w:gridSpan w:val="2"/>
            <w:shd w:val="clear" w:color="auto" w:fill="DEEBF6"/>
          </w:tcPr>
          <w:p w14:paraId="189D7CC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4E306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vAlign w:val="center"/>
          </w:tcPr>
          <w:p w14:paraId="0BC97079">
            <w:pPr>
              <w:spacing w:line="360" w:lineRule="auto"/>
              <w:rPr>
                <w:rFonts w:ascii="仿宋" w:hAnsi="仿宋" w:eastAsia="仿宋" w:cs="仿宋"/>
                <w:sz w:val="24"/>
              </w:rPr>
            </w:pPr>
            <w:r>
              <w:rPr>
                <w:rFonts w:hint="eastAsia" w:ascii="仿宋" w:hAnsi="仿宋" w:eastAsia="仿宋" w:cs="仿宋"/>
                <w:sz w:val="24"/>
              </w:rPr>
              <w:t>1.了解护理科研的特点，人体实验的意义及科研越轨的概念</w:t>
            </w:r>
          </w:p>
          <w:p w14:paraId="116CAF9F">
            <w:pPr>
              <w:spacing w:line="360" w:lineRule="auto"/>
              <w:rPr>
                <w:rFonts w:ascii="仿宋" w:hAnsi="仿宋" w:eastAsia="仿宋" w:cs="仿宋"/>
                <w:sz w:val="24"/>
              </w:rPr>
            </w:pPr>
            <w:r>
              <w:rPr>
                <w:rFonts w:ascii="仿宋" w:hAnsi="仿宋" w:eastAsia="仿宋" w:cs="仿宋"/>
                <w:sz w:val="24"/>
              </w:rPr>
              <w:t>2.</w:t>
            </w:r>
            <w:r>
              <w:rPr>
                <w:rFonts w:hint="eastAsia" w:ascii="仿宋" w:hAnsi="仿宋" w:eastAsia="仿宋" w:cs="仿宋"/>
                <w:sz w:val="24"/>
              </w:rPr>
              <w:t>熟悉护理科研伦理的意义，人体实验的伦理分析，科研活动中的越轨行为</w:t>
            </w:r>
          </w:p>
          <w:p w14:paraId="188BC4B7">
            <w:pPr>
              <w:spacing w:line="360" w:lineRule="auto"/>
              <w:rPr>
                <w:rFonts w:ascii="仿宋" w:hAnsi="仿宋" w:eastAsia="仿宋" w:cs="仿宋"/>
                <w:sz w:val="24"/>
              </w:rPr>
            </w:pPr>
            <w:r>
              <w:rPr>
                <w:rFonts w:ascii="仿宋" w:hAnsi="仿宋" w:eastAsia="仿宋" w:cs="仿宋"/>
                <w:sz w:val="24"/>
              </w:rPr>
              <w:t>3.</w:t>
            </w:r>
            <w:r>
              <w:rPr>
                <w:rFonts w:hint="eastAsia" w:ascii="仿宋" w:hAnsi="仿宋" w:eastAsia="仿宋" w:cs="仿宋"/>
                <w:sz w:val="24"/>
              </w:rPr>
              <w:t>掌握护理科研的伦理规范，人体实验的伦理规范科研越轨行为的危害和社会控制</w:t>
            </w:r>
          </w:p>
        </w:tc>
        <w:tc>
          <w:tcPr>
            <w:tcW w:w="3908" w:type="dxa"/>
            <w:gridSpan w:val="4"/>
            <w:vAlign w:val="center"/>
          </w:tcPr>
          <w:p w14:paraId="29DF5935">
            <w:pPr>
              <w:spacing w:line="360" w:lineRule="auto"/>
              <w:rPr>
                <w:rFonts w:ascii="仿宋" w:hAnsi="仿宋" w:eastAsia="仿宋" w:cs="仿宋"/>
                <w:sz w:val="24"/>
              </w:rPr>
            </w:pPr>
            <w:r>
              <w:rPr>
                <w:rFonts w:hint="eastAsia" w:ascii="仿宋" w:hAnsi="仿宋" w:eastAsia="仿宋" w:cs="仿宋"/>
                <w:sz w:val="24"/>
              </w:rPr>
              <w:t>1.学会护理科研的伦理规范，人体实验的伦理规范科研越轨行为的危害和社会控制</w:t>
            </w:r>
          </w:p>
          <w:p w14:paraId="359F2DA4">
            <w:pPr>
              <w:spacing w:line="360" w:lineRule="auto"/>
              <w:rPr>
                <w:rFonts w:ascii="仿宋" w:hAnsi="仿宋" w:eastAsia="仿宋" w:cs="仿宋"/>
                <w:sz w:val="24"/>
              </w:rPr>
            </w:pPr>
          </w:p>
          <w:p w14:paraId="750DF05B">
            <w:pPr>
              <w:spacing w:line="360" w:lineRule="auto"/>
              <w:rPr>
                <w:rFonts w:ascii="仿宋" w:hAnsi="仿宋" w:eastAsia="仿宋" w:cs="仿宋"/>
                <w:sz w:val="24"/>
              </w:rPr>
            </w:pPr>
            <w:r>
              <w:rPr>
                <w:rFonts w:hint="eastAsia" w:ascii="仿宋" w:hAnsi="仿宋" w:eastAsia="仿宋" w:cs="仿宋"/>
                <w:sz w:val="24"/>
              </w:rPr>
              <w:t>2.会利用护理科研的伦理规范，人体实验的伦理规范科研越轨行为的危害和社会控制解决临床中的伦理问题</w:t>
            </w:r>
          </w:p>
        </w:tc>
        <w:tc>
          <w:tcPr>
            <w:tcW w:w="3119" w:type="dxa"/>
            <w:gridSpan w:val="2"/>
          </w:tcPr>
          <w:p w14:paraId="03FFD7DD">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b/>
                <w:bCs/>
                <w:sz w:val="24"/>
              </w:rPr>
              <w:t>具备较强的护理科研伦理分析能力</w:t>
            </w:r>
          </w:p>
          <w:p w14:paraId="6F4F4C9B">
            <w:pPr>
              <w:spacing w:line="360" w:lineRule="auto"/>
              <w:rPr>
                <w:rFonts w:ascii="仿宋" w:hAnsi="仿宋" w:eastAsia="仿宋" w:cs="仿宋"/>
                <w:sz w:val="24"/>
              </w:rPr>
            </w:pPr>
          </w:p>
        </w:tc>
      </w:tr>
      <w:tr w14:paraId="4AA97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137539E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（三）学情分析</w:t>
            </w:r>
          </w:p>
        </w:tc>
      </w:tr>
      <w:tr w14:paraId="05D19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6" w:hRule="atLeast"/>
          <w:jc w:val="center"/>
        </w:trPr>
        <w:tc>
          <w:tcPr>
            <w:tcW w:w="10772" w:type="dxa"/>
            <w:gridSpan w:val="8"/>
            <w:vAlign w:val="center"/>
          </w:tcPr>
          <w:p w14:paraId="32F62BCF">
            <w:pPr>
              <w:spacing w:line="360" w:lineRule="auto"/>
              <w:ind w:firstLine="480" w:firstLineChars="200"/>
              <w:jc w:val="left"/>
              <w:rPr>
                <w:rFonts w:ascii="仿宋" w:hAnsi="仿宋" w:eastAsia="仿宋" w:cs="仿宋"/>
                <w:sz w:val="24"/>
              </w:rPr>
            </w:pPr>
            <w:r>
              <w:rPr>
                <w:rFonts w:hint="eastAsia" w:ascii="仿宋" w:hAnsi="仿宋" w:eastAsia="仿宋" w:cs="仿宋"/>
                <w:sz w:val="24"/>
              </w:rPr>
              <w:t xml:space="preserve">普专护理的学生已经学了护理学相关的理论知识，学习了前七个单元的知识，知道了护理伦理学的概述、理论基础和规范体系、护理人际关系伦理、整体护理伦理、临床护理伦理。对护理伦理学的理论基础以及运用伦理学知识解决问题的能力有所提升，需进一步的加强对护理科研中的伦理分析的学习。课前进行问卷调研，大部分同学对已学护理伦理学知识掌握程度好，会运用所学伦理知识分析问题，但对于护理科研中的伦理分析护理知识了解较少。 </w:t>
            </w:r>
          </w:p>
          <w:p w14:paraId="08EC6F4E">
            <w:pPr>
              <w:spacing w:line="360" w:lineRule="auto"/>
              <w:ind w:firstLine="480" w:firstLineChars="200"/>
              <w:jc w:val="left"/>
              <w:rPr>
                <w:rFonts w:ascii="仿宋" w:hAnsi="仿宋" w:eastAsia="仿宋" w:cs="仿宋"/>
                <w:sz w:val="24"/>
              </w:rPr>
            </w:pPr>
            <w:r>
              <w:rPr>
                <w:rFonts w:hint="eastAsia" w:ascii="仿宋" w:hAnsi="仿宋" w:eastAsia="仿宋" w:cs="仿宋"/>
                <w:sz w:val="24"/>
              </w:rPr>
              <w:t>应加强护理科研中伦理分析的讲解，培养处理护理科研的伦理规范，人体实验的伦理规范科研越轨行为的危害和社会控制的护理伦理理念。</w:t>
            </w:r>
          </w:p>
        </w:tc>
      </w:tr>
      <w:tr w14:paraId="14D67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019B69F0">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（四）教学方法</w:t>
            </w:r>
          </w:p>
        </w:tc>
      </w:tr>
      <w:tr w14:paraId="29A17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0278D23C">
            <w:pPr>
              <w:spacing w:line="360" w:lineRule="auto"/>
              <w:ind w:firstLine="480" w:firstLineChars="200"/>
              <w:rPr>
                <w:rFonts w:ascii="仿宋" w:hAnsi="仿宋" w:eastAsia="仿宋" w:cs="仿宋"/>
                <w:sz w:val="24"/>
                <w:lang w:bidi="ar"/>
              </w:rPr>
            </w:pPr>
            <w:r>
              <w:rPr>
                <w:rFonts w:hint="eastAsia" w:ascii="仿宋" w:hAnsi="仿宋" w:eastAsia="仿宋" w:cs="仿宋"/>
                <w:sz w:val="24"/>
                <w:lang w:bidi="ar"/>
              </w:rPr>
              <w:t>讲授法、案例分析法、启发法</w:t>
            </w:r>
          </w:p>
        </w:tc>
      </w:tr>
      <w:tr w14:paraId="0180F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6C6EC3B8">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（五）教学手段</w:t>
            </w:r>
          </w:p>
        </w:tc>
      </w:tr>
      <w:tr w14:paraId="43619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512F0703">
            <w:pPr>
              <w:spacing w:line="360" w:lineRule="auto"/>
              <w:ind w:firstLine="480" w:firstLineChars="200"/>
              <w:jc w:val="left"/>
              <w:rPr>
                <w:rFonts w:ascii="仿宋" w:hAnsi="仿宋" w:eastAsia="仿宋" w:cs="仿宋"/>
                <w:sz w:val="24"/>
              </w:rPr>
            </w:pPr>
            <w:r>
              <w:rPr>
                <w:rFonts w:hint="eastAsia" w:ascii="仿宋" w:hAnsi="仿宋" w:eastAsia="仿宋" w:cs="仿宋"/>
                <w:sz w:val="24"/>
                <w:lang w:bidi="ar"/>
              </w:rPr>
              <w:t>多媒体课件、思维导图、板书、论文、微课</w:t>
            </w:r>
          </w:p>
        </w:tc>
      </w:tr>
      <w:tr w14:paraId="233D9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517E6D9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（六）教学内容安排</w:t>
            </w:r>
          </w:p>
        </w:tc>
      </w:tr>
      <w:tr w14:paraId="32BE3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32751D2A">
            <w:pPr>
              <w:spacing w:line="360" w:lineRule="auto"/>
              <w:ind w:firstLine="480" w:firstLineChars="200"/>
              <w:rPr>
                <w:rFonts w:ascii="仿宋" w:hAnsi="仿宋" w:eastAsia="仿宋" w:cs="仿宋"/>
                <w:sz w:val="24"/>
              </w:rPr>
            </w:pPr>
            <w:r>
              <w:rPr>
                <w:rFonts w:hint="eastAsia" w:ascii="仿宋" w:hAnsi="仿宋" w:eastAsia="仿宋" w:cs="仿宋"/>
                <w:sz w:val="24"/>
              </w:rPr>
              <w:t>知识回顾                         3min</w:t>
            </w:r>
          </w:p>
          <w:p w14:paraId="28F0242B">
            <w:pPr>
              <w:spacing w:line="360" w:lineRule="auto"/>
              <w:ind w:firstLine="480" w:firstLineChars="200"/>
              <w:rPr>
                <w:rFonts w:ascii="仿宋" w:hAnsi="仿宋" w:eastAsia="仿宋" w:cs="仿宋"/>
                <w:sz w:val="24"/>
              </w:rPr>
            </w:pPr>
            <w:r>
              <w:rPr>
                <w:rFonts w:hint="eastAsia" w:ascii="仿宋" w:hAnsi="仿宋" w:eastAsia="仿宋" w:cs="仿宋"/>
                <w:sz w:val="24"/>
              </w:rPr>
              <w:t>课前调研结果分析                 2min</w:t>
            </w:r>
          </w:p>
          <w:p w14:paraId="460DAAD2">
            <w:pPr>
              <w:spacing w:line="360" w:lineRule="auto"/>
              <w:ind w:firstLine="480" w:firstLineChars="200"/>
              <w:rPr>
                <w:rFonts w:ascii="仿宋" w:hAnsi="仿宋" w:eastAsia="仿宋" w:cs="仿宋"/>
                <w:sz w:val="24"/>
              </w:rPr>
            </w:pPr>
            <w:r>
              <w:rPr>
                <w:rFonts w:hint="eastAsia" w:ascii="仿宋" w:hAnsi="仿宋" w:eastAsia="仿宋" w:cs="仿宋"/>
                <w:sz w:val="24"/>
              </w:rPr>
              <w:t>教学目标及重难点                 2min</w:t>
            </w:r>
          </w:p>
          <w:p w14:paraId="739649A4">
            <w:pPr>
              <w:spacing w:line="360" w:lineRule="auto"/>
              <w:ind w:firstLine="480" w:firstLineChars="200"/>
              <w:rPr>
                <w:rFonts w:ascii="仿宋" w:hAnsi="仿宋" w:eastAsia="仿宋" w:cs="仿宋"/>
                <w:sz w:val="24"/>
              </w:rPr>
            </w:pPr>
            <w:r>
              <w:rPr>
                <w:rFonts w:hint="eastAsia" w:ascii="仿宋" w:hAnsi="仿宋" w:eastAsia="仿宋" w:cs="仿宋"/>
                <w:sz w:val="24"/>
              </w:rPr>
              <w:t xml:space="preserve">护理科研概述 </w:t>
            </w:r>
            <w:r>
              <w:rPr>
                <w:rFonts w:ascii="仿宋" w:hAnsi="仿宋" w:eastAsia="仿宋" w:cs="仿宋"/>
                <w:sz w:val="24"/>
              </w:rPr>
              <w:t xml:space="preserve">                    30</w:t>
            </w:r>
            <w:r>
              <w:rPr>
                <w:rFonts w:hint="eastAsia" w:ascii="仿宋" w:hAnsi="仿宋" w:eastAsia="仿宋" w:cs="仿宋"/>
                <w:sz w:val="24"/>
              </w:rPr>
              <w:t>min</w:t>
            </w:r>
          </w:p>
          <w:p w14:paraId="498F546A">
            <w:pPr>
              <w:spacing w:line="360" w:lineRule="auto"/>
              <w:ind w:firstLine="480" w:firstLineChars="200"/>
              <w:rPr>
                <w:rFonts w:ascii="仿宋" w:hAnsi="仿宋" w:eastAsia="仿宋" w:cs="仿宋"/>
                <w:sz w:val="24"/>
              </w:rPr>
            </w:pPr>
            <w:r>
              <w:rPr>
                <w:rFonts w:hint="eastAsia" w:ascii="仿宋" w:hAnsi="仿宋" w:eastAsia="仿宋" w:cs="仿宋"/>
                <w:sz w:val="24"/>
              </w:rPr>
              <w:t xml:space="preserve">人体实验的伦理分析 </w:t>
            </w:r>
            <w:r>
              <w:rPr>
                <w:rFonts w:ascii="仿宋" w:hAnsi="仿宋" w:eastAsia="仿宋" w:cs="仿宋"/>
                <w:sz w:val="24"/>
              </w:rPr>
              <w:t xml:space="preserve">              58</w:t>
            </w:r>
            <w:r>
              <w:rPr>
                <w:rFonts w:hint="eastAsia" w:ascii="仿宋" w:hAnsi="仿宋" w:eastAsia="仿宋" w:cs="仿宋"/>
                <w:sz w:val="24"/>
              </w:rPr>
              <w:t>min</w:t>
            </w:r>
          </w:p>
          <w:p w14:paraId="15ECC7C6">
            <w:pPr>
              <w:spacing w:line="360" w:lineRule="auto"/>
              <w:ind w:firstLine="480" w:firstLineChars="200"/>
              <w:rPr>
                <w:rFonts w:ascii="仿宋" w:hAnsi="仿宋" w:eastAsia="仿宋" w:cs="仿宋"/>
                <w:sz w:val="24"/>
              </w:rPr>
            </w:pPr>
            <w:r>
              <w:rPr>
                <w:rFonts w:hint="eastAsia" w:ascii="仿宋" w:hAnsi="仿宋" w:eastAsia="仿宋" w:cs="仿宋"/>
                <w:sz w:val="24"/>
              </w:rPr>
              <w:t>科研越轨行为的危害及社会控制     35min</w:t>
            </w:r>
          </w:p>
          <w:p w14:paraId="6DC91281">
            <w:pPr>
              <w:spacing w:line="360" w:lineRule="auto"/>
              <w:ind w:firstLine="480" w:firstLineChars="200"/>
              <w:rPr>
                <w:rFonts w:ascii="仿宋" w:hAnsi="仿宋" w:eastAsia="仿宋" w:cs="仿宋"/>
                <w:sz w:val="24"/>
              </w:rPr>
            </w:pPr>
            <w:r>
              <w:rPr>
                <w:rFonts w:hint="eastAsia" w:ascii="仿宋" w:hAnsi="仿宋" w:eastAsia="仿宋" w:cs="仿宋"/>
                <w:sz w:val="24"/>
              </w:rPr>
              <w:t>总结                             3min</w:t>
            </w:r>
          </w:p>
          <w:p w14:paraId="5BE726BA">
            <w:pPr>
              <w:spacing w:line="360" w:lineRule="auto"/>
              <w:ind w:firstLine="480" w:firstLineChars="200"/>
              <w:rPr>
                <w:rFonts w:ascii="仿宋" w:hAnsi="仿宋" w:eastAsia="仿宋" w:cs="仿宋"/>
                <w:sz w:val="24"/>
              </w:rPr>
            </w:pPr>
            <w:r>
              <w:rPr>
                <w:rFonts w:hint="eastAsia" w:ascii="仿宋" w:hAnsi="仿宋" w:eastAsia="仿宋" w:cs="仿宋"/>
                <w:sz w:val="24"/>
              </w:rPr>
              <w:t>作业                             2min</w:t>
            </w:r>
          </w:p>
        </w:tc>
      </w:tr>
      <w:tr w14:paraId="755F7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05D8520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5"/>
            <w:shd w:val="clear" w:color="auto" w:fill="DEEAF6"/>
            <w:vAlign w:val="center"/>
          </w:tcPr>
          <w:p w14:paraId="09394B0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教学难点</w:t>
            </w:r>
          </w:p>
        </w:tc>
      </w:tr>
      <w:tr w14:paraId="2FFE1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vAlign w:val="top"/>
          </w:tcPr>
          <w:p w14:paraId="191CBE68">
            <w:pPr>
              <w:spacing w:line="360" w:lineRule="auto"/>
              <w:jc w:val="both"/>
              <w:rPr>
                <w:rFonts w:ascii="仿宋" w:hAnsi="仿宋" w:eastAsia="仿宋" w:cs="仿宋"/>
                <w:sz w:val="24"/>
              </w:rPr>
            </w:pPr>
            <w:r>
              <w:rPr>
                <w:rFonts w:hint="eastAsia" w:ascii="仿宋" w:hAnsi="仿宋" w:eastAsia="仿宋" w:cs="仿宋"/>
                <w:sz w:val="24"/>
              </w:rPr>
              <w:t>1.护理科研的伦理</w:t>
            </w:r>
          </w:p>
          <w:p w14:paraId="497BC619">
            <w:pPr>
              <w:spacing w:line="360" w:lineRule="auto"/>
              <w:jc w:val="both"/>
              <w:rPr>
                <w:rFonts w:ascii="仿宋" w:hAnsi="仿宋" w:eastAsia="仿宋" w:cs="仿宋"/>
                <w:sz w:val="24"/>
              </w:rPr>
            </w:pPr>
            <w:r>
              <w:rPr>
                <w:rFonts w:hint="eastAsia" w:ascii="仿宋" w:hAnsi="仿宋" w:eastAsia="仿宋" w:cs="仿宋"/>
                <w:sz w:val="24"/>
              </w:rPr>
              <w:t>2.人体实验的伦理</w:t>
            </w:r>
          </w:p>
          <w:p w14:paraId="5283BA61">
            <w:pPr>
              <w:spacing w:line="360" w:lineRule="auto"/>
              <w:jc w:val="both"/>
              <w:rPr>
                <w:rFonts w:ascii="仿宋" w:hAnsi="仿宋" w:eastAsia="仿宋" w:cs="仿宋"/>
                <w:sz w:val="24"/>
              </w:rPr>
            </w:pPr>
            <w:r>
              <w:rPr>
                <w:rFonts w:hint="eastAsia" w:ascii="仿宋" w:hAnsi="仿宋" w:eastAsia="仿宋" w:cs="仿宋"/>
                <w:sz w:val="24"/>
              </w:rPr>
              <w:t>3.科研越轨行为的危害和社会控制</w:t>
            </w:r>
          </w:p>
          <w:p w14:paraId="584B4B1A">
            <w:pPr>
              <w:spacing w:line="360" w:lineRule="auto"/>
              <w:jc w:val="both"/>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问卷调研分析学情，对护理科研中的伦理分析了解不足；在职教云上传相关微课。</w:t>
            </w:r>
          </w:p>
          <w:p w14:paraId="30AA705F">
            <w:pPr>
              <w:spacing w:line="360" w:lineRule="auto"/>
              <w:jc w:val="both"/>
              <w:rPr>
                <w:rFonts w:ascii="仿宋" w:hAnsi="仿宋" w:eastAsia="仿宋" w:cs="仿宋"/>
                <w:sz w:val="24"/>
              </w:rPr>
            </w:pPr>
            <w:r>
              <w:rPr>
                <w:rFonts w:hint="eastAsia" w:ascii="仿宋" w:hAnsi="仿宋" w:eastAsia="仿宋" w:cs="仿宋"/>
                <w:b/>
                <w:bCs/>
                <w:sz w:val="24"/>
              </w:rPr>
              <w:t>课中：通过教师讲解、启发提问、小组讨论、案例分析解决重点内容</w:t>
            </w:r>
            <w:r>
              <w:rPr>
                <w:rFonts w:hint="eastAsia" w:ascii="仿宋" w:hAnsi="仿宋" w:eastAsia="仿宋" w:cs="仿宋"/>
                <w:sz w:val="24"/>
              </w:rPr>
              <w:t>。</w:t>
            </w:r>
          </w:p>
          <w:p w14:paraId="1F67B136">
            <w:pPr>
              <w:spacing w:line="360" w:lineRule="auto"/>
              <w:jc w:val="both"/>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5"/>
            <w:vAlign w:val="top"/>
          </w:tcPr>
          <w:p w14:paraId="1B6E3B60">
            <w:pPr>
              <w:spacing w:line="360" w:lineRule="auto"/>
              <w:jc w:val="both"/>
              <w:rPr>
                <w:rFonts w:ascii="仿宋" w:hAnsi="仿宋" w:eastAsia="仿宋" w:cs="仿宋"/>
                <w:sz w:val="24"/>
              </w:rPr>
            </w:pPr>
            <w:r>
              <w:rPr>
                <w:rFonts w:hint="eastAsia" w:ascii="仿宋" w:hAnsi="仿宋" w:eastAsia="仿宋" w:cs="仿宋"/>
                <w:sz w:val="24"/>
              </w:rPr>
              <w:t>1. 护理科研的伦理应用</w:t>
            </w:r>
          </w:p>
          <w:p w14:paraId="323C6A46">
            <w:pPr>
              <w:spacing w:line="360" w:lineRule="auto"/>
              <w:jc w:val="both"/>
              <w:rPr>
                <w:rFonts w:ascii="仿宋" w:hAnsi="仿宋" w:eastAsia="仿宋" w:cs="仿宋"/>
                <w:sz w:val="24"/>
              </w:rPr>
            </w:pPr>
            <w:r>
              <w:rPr>
                <w:rFonts w:hint="eastAsia" w:ascii="仿宋" w:hAnsi="仿宋" w:eastAsia="仿宋" w:cs="仿宋"/>
                <w:sz w:val="24"/>
              </w:rPr>
              <w:t>2. 人体实验的伦理应用</w:t>
            </w:r>
          </w:p>
          <w:p w14:paraId="125410C9">
            <w:pPr>
              <w:spacing w:line="360" w:lineRule="auto"/>
              <w:jc w:val="both"/>
              <w:rPr>
                <w:rFonts w:ascii="仿宋" w:hAnsi="仿宋" w:eastAsia="仿宋" w:cs="仿宋"/>
                <w:sz w:val="24"/>
              </w:rPr>
            </w:pPr>
            <w:r>
              <w:rPr>
                <w:rFonts w:hint="eastAsia" w:ascii="仿宋" w:hAnsi="仿宋" w:eastAsia="仿宋" w:cs="仿宋"/>
                <w:sz w:val="24"/>
              </w:rPr>
              <w:t>3. 科研越轨行为的危害和社会控制应用</w:t>
            </w:r>
          </w:p>
          <w:p w14:paraId="346D9266">
            <w:pPr>
              <w:spacing w:line="360" w:lineRule="auto"/>
              <w:jc w:val="both"/>
              <w:rPr>
                <w:rFonts w:ascii="仿宋" w:hAnsi="仿宋" w:eastAsia="仿宋" w:cs="仿宋"/>
                <w:sz w:val="24"/>
              </w:rPr>
            </w:pPr>
            <w:r>
              <w:rPr>
                <w:rFonts w:hint="eastAsia" w:ascii="仿宋" w:hAnsi="仿宋" w:eastAsia="仿宋" w:cs="仿宋"/>
                <w:sz w:val="24"/>
              </w:rPr>
              <w:t>对策：</w:t>
            </w:r>
          </w:p>
          <w:p w14:paraId="6F1125C2">
            <w:pPr>
              <w:spacing w:line="360" w:lineRule="auto"/>
              <w:jc w:val="both"/>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问卷调研分析学情，明确教学重难点。职教云上传相关微课，布置课前预习任务。</w:t>
            </w:r>
          </w:p>
          <w:p w14:paraId="7FC7B983">
            <w:pPr>
              <w:spacing w:line="360" w:lineRule="auto"/>
              <w:jc w:val="both"/>
              <w:rPr>
                <w:rFonts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4B1DF077">
            <w:pPr>
              <w:spacing w:line="360" w:lineRule="auto"/>
              <w:jc w:val="both"/>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64AAC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0D43BB3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（七）教学方法与资源</w:t>
            </w:r>
          </w:p>
        </w:tc>
      </w:tr>
      <w:tr w14:paraId="4CF97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shd w:val="clear" w:color="auto" w:fill="DEEAF6"/>
          </w:tcPr>
          <w:p w14:paraId="71D424C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6" w:type="dxa"/>
            <w:gridSpan w:val="4"/>
            <w:shd w:val="clear" w:color="auto" w:fill="DEEAF6"/>
          </w:tcPr>
          <w:p w14:paraId="44485AA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其他</w:t>
            </w:r>
          </w:p>
        </w:tc>
      </w:tr>
      <w:tr w14:paraId="5CBD6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tcPr>
          <w:p w14:paraId="7AE9BE8D">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71550" cy="1219200"/>
                  <wp:effectExtent l="0" t="0" r="0" b="0"/>
                  <wp:docPr id="74" name="图片 42"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2" descr="847b241cda15149b93766219ff89d70"/>
                          <pic:cNvPicPr>
                            <a:picLocks noChangeAspect="1"/>
                          </pic:cNvPicPr>
                        </pic:nvPicPr>
                        <pic:blipFill>
                          <a:blip r:embed="rId7"/>
                          <a:stretch>
                            <a:fillRect/>
                          </a:stretch>
                        </pic:blipFill>
                        <pic:spPr>
                          <a:xfrm>
                            <a:off x="0" y="0"/>
                            <a:ext cx="971550" cy="12192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52500" cy="1186815"/>
                  <wp:effectExtent l="0" t="0" r="0" b="13335"/>
                  <wp:docPr id="71" name="图片 43"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3" descr="1629788608(1)"/>
                          <pic:cNvPicPr>
                            <a:picLocks noChangeAspect="1"/>
                          </pic:cNvPicPr>
                        </pic:nvPicPr>
                        <pic:blipFill>
                          <a:blip r:embed="rId8"/>
                          <a:stretch>
                            <a:fillRect/>
                          </a:stretch>
                        </pic:blipFill>
                        <pic:spPr>
                          <a:xfrm>
                            <a:off x="0" y="0"/>
                            <a:ext cx="952500" cy="1186815"/>
                          </a:xfrm>
                          <a:prstGeom prst="rect">
                            <a:avLst/>
                          </a:prstGeom>
                          <a:noFill/>
                          <a:ln>
                            <a:noFill/>
                          </a:ln>
                        </pic:spPr>
                      </pic:pic>
                    </a:graphicData>
                  </a:graphic>
                </wp:inline>
              </w:drawing>
            </w:r>
          </w:p>
          <w:p w14:paraId="642CF66A">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77900" cy="1291590"/>
                  <wp:effectExtent l="0" t="0" r="12700" b="3810"/>
                  <wp:docPr id="73" name="图片 44"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4" descr="1629788927(1)"/>
                          <pic:cNvPicPr>
                            <a:picLocks noChangeAspect="1"/>
                          </pic:cNvPicPr>
                        </pic:nvPicPr>
                        <pic:blipFill>
                          <a:blip r:embed="rId9"/>
                          <a:stretch>
                            <a:fillRect/>
                          </a:stretch>
                        </pic:blipFill>
                        <pic:spPr>
                          <a:xfrm>
                            <a:off x="0" y="0"/>
                            <a:ext cx="977900" cy="129159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71550" cy="1266825"/>
                  <wp:effectExtent l="0" t="0" r="0" b="9525"/>
                  <wp:docPr id="75" name="图片 45"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5" descr="1629798548(1)"/>
                          <pic:cNvPicPr>
                            <a:picLocks noChangeAspect="1"/>
                          </pic:cNvPicPr>
                        </pic:nvPicPr>
                        <pic:blipFill>
                          <a:blip r:embed="rId10"/>
                          <a:stretch>
                            <a:fillRect/>
                          </a:stretch>
                        </pic:blipFill>
                        <pic:spPr>
                          <a:xfrm>
                            <a:off x="0" y="0"/>
                            <a:ext cx="971550" cy="1266825"/>
                          </a:xfrm>
                          <a:prstGeom prst="rect">
                            <a:avLst/>
                          </a:prstGeom>
                          <a:noFill/>
                          <a:ln>
                            <a:noFill/>
                          </a:ln>
                        </pic:spPr>
                      </pic:pic>
                    </a:graphicData>
                  </a:graphic>
                </wp:inline>
              </w:drawing>
            </w:r>
          </w:p>
        </w:tc>
        <w:tc>
          <w:tcPr>
            <w:tcW w:w="5246" w:type="dxa"/>
            <w:gridSpan w:val="4"/>
          </w:tcPr>
          <w:p w14:paraId="5AE0DD60">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117600" cy="863600"/>
                  <wp:effectExtent l="0" t="0" r="6350" b="12700"/>
                  <wp:docPr id="76" name="图片 46"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6" descr="1620189801(1)"/>
                          <pic:cNvPicPr>
                            <a:picLocks noChangeAspect="1"/>
                          </pic:cNvPicPr>
                        </pic:nvPicPr>
                        <pic:blipFill>
                          <a:blip r:embed="rId11"/>
                          <a:stretch>
                            <a:fillRect/>
                          </a:stretch>
                        </pic:blipFill>
                        <pic:spPr>
                          <a:xfrm>
                            <a:off x="0" y="0"/>
                            <a:ext cx="1117600" cy="8636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762000" cy="762000"/>
                  <wp:effectExtent l="0" t="0" r="0" b="0"/>
                  <wp:docPr id="70" name="图片 47"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7" descr="1620189909(1)"/>
                          <pic:cNvPicPr>
                            <a:picLocks noChangeAspect="1"/>
                          </pic:cNvPicPr>
                        </pic:nvPicPr>
                        <pic:blipFill>
                          <a:blip r:embed="rId12"/>
                          <a:stretch>
                            <a:fillRect/>
                          </a:stretch>
                        </pic:blipFill>
                        <pic:spPr>
                          <a:xfrm>
                            <a:off x="0" y="0"/>
                            <a:ext cx="762000" cy="762000"/>
                          </a:xfrm>
                          <a:prstGeom prst="rect">
                            <a:avLst/>
                          </a:prstGeom>
                          <a:noFill/>
                          <a:ln>
                            <a:noFill/>
                          </a:ln>
                        </pic:spPr>
                      </pic:pic>
                    </a:graphicData>
                  </a:graphic>
                </wp:inline>
              </w:drawing>
            </w:r>
          </w:p>
          <w:p w14:paraId="3538A5B3">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p w14:paraId="2DD85A7E">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2357755" cy="1081405"/>
                  <wp:effectExtent l="0" t="0" r="0" b="0"/>
                  <wp:docPr id="72" name="图片 48"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8" descr="1620189844(1)"/>
                          <pic:cNvPicPr>
                            <a:picLocks noChangeAspect="1"/>
                          </pic:cNvPicPr>
                        </pic:nvPicPr>
                        <pic:blipFill>
                          <a:blip r:embed="rId13"/>
                          <a:srcRect r="-593" b="-8557"/>
                          <a:stretch>
                            <a:fillRect/>
                          </a:stretch>
                        </pic:blipFill>
                        <pic:spPr>
                          <a:xfrm>
                            <a:off x="0" y="0"/>
                            <a:ext cx="2357755" cy="1081405"/>
                          </a:xfrm>
                          <a:prstGeom prst="rect">
                            <a:avLst/>
                          </a:prstGeom>
                          <a:noFill/>
                          <a:ln>
                            <a:noFill/>
                          </a:ln>
                        </pic:spPr>
                      </pic:pic>
                    </a:graphicData>
                  </a:graphic>
                </wp:inline>
              </w:drawing>
            </w:r>
          </w:p>
        </w:tc>
      </w:tr>
    </w:tbl>
    <w:p w14:paraId="3168B310">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9"/>
        <w:gridCol w:w="2430"/>
        <w:gridCol w:w="2895"/>
        <w:gridCol w:w="3368"/>
      </w:tblGrid>
      <w:tr w14:paraId="49907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67B60AC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（一）课前导学习</w:t>
            </w:r>
          </w:p>
        </w:tc>
      </w:tr>
      <w:tr w14:paraId="0B3F1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shd w:val="clear" w:color="auto" w:fill="DEEBF6"/>
            <w:vAlign w:val="top"/>
          </w:tcPr>
          <w:p w14:paraId="380DC67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教学内容</w:t>
            </w:r>
          </w:p>
        </w:tc>
        <w:tc>
          <w:tcPr>
            <w:tcW w:w="2430" w:type="dxa"/>
            <w:shd w:val="clear" w:color="auto" w:fill="DEEBF6"/>
            <w:vAlign w:val="top"/>
          </w:tcPr>
          <w:p w14:paraId="112FE41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895" w:type="dxa"/>
            <w:shd w:val="clear" w:color="auto" w:fill="DEEBF6"/>
            <w:vAlign w:val="top"/>
          </w:tcPr>
          <w:p w14:paraId="768E19F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学生活动</w:t>
            </w:r>
          </w:p>
        </w:tc>
        <w:tc>
          <w:tcPr>
            <w:tcW w:w="3368" w:type="dxa"/>
            <w:shd w:val="clear" w:color="auto" w:fill="DEEBF6"/>
            <w:vAlign w:val="top"/>
          </w:tcPr>
          <w:p w14:paraId="1522BEE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设计意图</w:t>
            </w:r>
          </w:p>
        </w:tc>
      </w:tr>
      <w:tr w14:paraId="6F17B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5673F5BA">
            <w:pPr>
              <w:spacing w:line="360" w:lineRule="auto"/>
              <w:rPr>
                <w:rFonts w:ascii="仿宋" w:hAnsi="仿宋" w:eastAsia="仿宋" w:cs="仿宋"/>
                <w:sz w:val="24"/>
              </w:rPr>
            </w:pPr>
            <w:r>
              <w:rPr>
                <w:rFonts w:hint="eastAsia" w:ascii="仿宋" w:hAnsi="仿宋" w:eastAsia="仿宋" w:cs="仿宋"/>
                <w:sz w:val="24"/>
              </w:rPr>
              <w:t>护理伦理学</w:t>
            </w:r>
          </w:p>
          <w:p w14:paraId="7CCDF34F">
            <w:pPr>
              <w:spacing w:line="360" w:lineRule="auto"/>
              <w:ind w:firstLine="240" w:firstLineChars="100"/>
              <w:rPr>
                <w:rFonts w:ascii="仿宋" w:hAnsi="仿宋" w:eastAsia="仿宋" w:cs="仿宋"/>
                <w:sz w:val="24"/>
              </w:rPr>
            </w:pPr>
            <w:r>
              <w:rPr>
                <w:rFonts w:hint="eastAsia" w:ascii="仿宋" w:hAnsi="仿宋" w:eastAsia="仿宋" w:cs="仿宋"/>
                <w:sz w:val="24"/>
              </w:rPr>
              <w:t>--护理科研中的伦理分析</w:t>
            </w:r>
          </w:p>
          <w:p w14:paraId="368241FA">
            <w:pPr>
              <w:spacing w:line="360" w:lineRule="auto"/>
              <w:ind w:firstLine="240" w:firstLineChars="100"/>
              <w:rPr>
                <w:rFonts w:ascii="仿宋" w:hAnsi="仿宋" w:eastAsia="仿宋" w:cs="仿宋"/>
                <w:sz w:val="24"/>
              </w:rPr>
            </w:pPr>
          </w:p>
        </w:tc>
        <w:tc>
          <w:tcPr>
            <w:tcW w:w="2430" w:type="dxa"/>
            <w:vAlign w:val="top"/>
          </w:tcPr>
          <w:p w14:paraId="74D0F962">
            <w:pPr>
              <w:numPr>
                <w:ilvl w:val="0"/>
                <w:numId w:val="1"/>
              </w:numPr>
              <w:spacing w:line="360" w:lineRule="auto"/>
              <w:rPr>
                <w:rFonts w:ascii="仿宋" w:hAnsi="仿宋" w:eastAsia="仿宋" w:cs="仿宋"/>
                <w:sz w:val="24"/>
              </w:rPr>
            </w:pPr>
            <w:r>
              <w:rPr>
                <w:rFonts w:hint="eastAsia" w:ascii="仿宋" w:hAnsi="仿宋" w:eastAsia="仿宋" w:cs="仿宋"/>
                <w:sz w:val="24"/>
              </w:rPr>
              <w:t>课前发布《护理科研中的伦理分析》问卷，分析收集问卷内容，为新课讲授做准备。</w:t>
            </w:r>
          </w:p>
          <w:p w14:paraId="28C7C4C4">
            <w:pPr>
              <w:spacing w:line="360" w:lineRule="auto"/>
              <w:rPr>
                <w:rFonts w:ascii="仿宋" w:hAnsi="仿宋" w:eastAsia="仿宋" w:cs="仿宋"/>
                <w:sz w:val="24"/>
              </w:rPr>
            </w:pPr>
            <w:r>
              <w:rPr>
                <w:rFonts w:hint="eastAsia" w:ascii="仿宋" w:hAnsi="仿宋" w:eastAsia="仿宋" w:cs="仿宋"/>
                <w:sz w:val="24"/>
              </w:rPr>
              <w:t>2.职教云平台上传相关视频，请同学结合课本内容提前预习</w:t>
            </w:r>
          </w:p>
        </w:tc>
        <w:tc>
          <w:tcPr>
            <w:tcW w:w="2895" w:type="dxa"/>
            <w:vAlign w:val="top"/>
          </w:tcPr>
          <w:p w14:paraId="4AAA45B5">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填写问卷的相关内容</w:t>
            </w:r>
          </w:p>
          <w:p w14:paraId="213DA76D">
            <w:pPr>
              <w:spacing w:line="360" w:lineRule="auto"/>
              <w:rPr>
                <w:rFonts w:ascii="仿宋" w:hAnsi="仿宋" w:eastAsia="仿宋" w:cs="仿宋"/>
                <w:sz w:val="24"/>
              </w:rPr>
            </w:pPr>
            <w:r>
              <w:rPr>
                <w:rFonts w:hint="eastAsia" w:ascii="仿宋" w:hAnsi="仿宋" w:eastAsia="仿宋" w:cs="仿宋"/>
                <w:sz w:val="24"/>
              </w:rPr>
              <w:t xml:space="preserve"> </w:t>
            </w:r>
            <w:r>
              <w:rPr>
                <w:rFonts w:ascii="仿宋" w:hAnsi="仿宋" w:eastAsia="仿宋" w:cs="仿宋"/>
                <w:sz w:val="24"/>
              </w:rPr>
              <w:drawing>
                <wp:inline distT="0" distB="0" distL="114300" distR="114300">
                  <wp:extent cx="571500" cy="571500"/>
                  <wp:effectExtent l="0" t="0" r="0" b="0"/>
                  <wp:docPr id="81" name="图片 49" descr="研究设计课前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9" descr="研究设计课前调查"/>
                          <pic:cNvPicPr>
                            <a:picLocks noChangeAspect="1"/>
                          </pic:cNvPicPr>
                        </pic:nvPicPr>
                        <pic:blipFill>
                          <a:blip r:embed="rId14"/>
                          <a:stretch>
                            <a:fillRect/>
                          </a:stretch>
                        </pic:blipFill>
                        <pic:spPr>
                          <a:xfrm>
                            <a:off x="0" y="0"/>
                            <a:ext cx="571500" cy="571500"/>
                          </a:xfrm>
                          <a:prstGeom prst="rect">
                            <a:avLst/>
                          </a:prstGeom>
                          <a:noFill/>
                          <a:ln>
                            <a:noFill/>
                          </a:ln>
                        </pic:spPr>
                      </pic:pic>
                    </a:graphicData>
                  </a:graphic>
                </wp:inline>
              </w:drawing>
            </w:r>
            <w:r>
              <w:rPr>
                <w:rFonts w:hint="eastAsia" w:ascii="仿宋" w:hAnsi="仿宋" w:eastAsia="仿宋" w:cs="仿宋"/>
                <w:sz w:val="24"/>
              </w:rPr>
              <w:t xml:space="preserve">  </w:t>
            </w:r>
          </w:p>
          <w:p w14:paraId="7675A4D5">
            <w:pPr>
              <w:spacing w:line="360" w:lineRule="auto"/>
              <w:rPr>
                <w:rFonts w:ascii="仿宋" w:hAnsi="仿宋" w:eastAsia="仿宋" w:cs="仿宋"/>
                <w:sz w:val="24"/>
              </w:rPr>
            </w:pPr>
            <w:r>
              <w:rPr>
                <w:rFonts w:hint="eastAsia" w:ascii="仿宋" w:hAnsi="仿宋" w:eastAsia="仿宋" w:cs="仿宋"/>
                <w:sz w:val="24"/>
              </w:rPr>
              <w:t xml:space="preserve">  </w:t>
            </w:r>
          </w:p>
          <w:p w14:paraId="1DE1C0D7">
            <w:pPr>
              <w:spacing w:line="360" w:lineRule="auto"/>
              <w:rPr>
                <w:rFonts w:ascii="仿宋" w:hAnsi="仿宋" w:eastAsia="仿宋" w:cs="仿宋"/>
                <w:sz w:val="24"/>
              </w:rPr>
            </w:pPr>
            <w:r>
              <w:rPr>
                <w:rFonts w:hint="eastAsia" w:ascii="仿宋" w:hAnsi="仿宋" w:eastAsia="仿宋" w:cs="仿宋"/>
                <w:sz w:val="24"/>
              </w:rPr>
              <w:t xml:space="preserve">2.查阅职教云视频及课本，提前预习          </w:t>
            </w:r>
          </w:p>
        </w:tc>
        <w:tc>
          <w:tcPr>
            <w:tcW w:w="3368" w:type="dxa"/>
            <w:vAlign w:val="top"/>
          </w:tcPr>
          <w:p w14:paraId="2388EFD7">
            <w:pPr>
              <w:spacing w:line="360" w:lineRule="auto"/>
              <w:rPr>
                <w:rFonts w:ascii="仿宋" w:hAnsi="仿宋" w:eastAsia="仿宋" w:cs="仿宋"/>
                <w:sz w:val="24"/>
              </w:rPr>
            </w:pPr>
            <w:r>
              <w:rPr>
                <w:rFonts w:hint="eastAsia" w:ascii="仿宋" w:hAnsi="仿宋" w:eastAsia="仿宋" w:cs="仿宋"/>
                <w:sz w:val="24"/>
              </w:rPr>
              <w:t>1.了解学生对前期课程重点内容的把握及护理科研中的伦理分析知识水平，为有效教学做准备。</w:t>
            </w:r>
          </w:p>
          <w:p w14:paraId="5B148708">
            <w:pPr>
              <w:spacing w:line="360" w:lineRule="auto"/>
              <w:rPr>
                <w:rFonts w:ascii="仿宋" w:hAnsi="仿宋" w:eastAsia="仿宋" w:cs="仿宋"/>
                <w:sz w:val="24"/>
              </w:rPr>
            </w:pPr>
            <w:r>
              <w:rPr>
                <w:rFonts w:hint="eastAsia" w:ascii="仿宋" w:hAnsi="仿宋" w:eastAsia="仿宋" w:cs="仿宋"/>
                <w:sz w:val="24"/>
              </w:rPr>
              <w:t>2.护理科研中的伦理分析内容较多，提前预习，有助于课上内容的消化</w:t>
            </w:r>
          </w:p>
        </w:tc>
      </w:tr>
      <w:tr w14:paraId="57F90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0343B00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（二）课中授新知</w:t>
            </w:r>
          </w:p>
        </w:tc>
      </w:tr>
      <w:tr w14:paraId="0AA75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shd w:val="clear" w:color="auto" w:fill="DEEAF6"/>
            <w:vAlign w:val="top"/>
          </w:tcPr>
          <w:p w14:paraId="7417F469">
            <w:pPr>
              <w:spacing w:line="360" w:lineRule="auto"/>
              <w:jc w:val="center"/>
              <w:rPr>
                <w:rFonts w:ascii="仿宋" w:hAnsi="仿宋" w:eastAsia="仿宋" w:cs="仿宋"/>
                <w:sz w:val="24"/>
              </w:rPr>
            </w:pPr>
            <w:r>
              <w:rPr>
                <w:rFonts w:hint="eastAsia" w:ascii="仿宋" w:hAnsi="仿宋" w:eastAsia="仿宋" w:cs="仿宋"/>
                <w:b/>
                <w:bCs/>
                <w:sz w:val="28"/>
                <w:szCs w:val="28"/>
              </w:rPr>
              <w:t>教学内容</w:t>
            </w:r>
          </w:p>
        </w:tc>
        <w:tc>
          <w:tcPr>
            <w:tcW w:w="2430" w:type="dxa"/>
            <w:shd w:val="clear" w:color="auto" w:fill="DEEAF6"/>
            <w:vAlign w:val="top"/>
          </w:tcPr>
          <w:p w14:paraId="4C194A8D">
            <w:pPr>
              <w:spacing w:line="360" w:lineRule="auto"/>
              <w:jc w:val="center"/>
              <w:rPr>
                <w:rFonts w:ascii="仿宋" w:hAnsi="仿宋" w:eastAsia="仿宋" w:cs="仿宋"/>
                <w:sz w:val="24"/>
              </w:rPr>
            </w:pPr>
            <w:r>
              <w:rPr>
                <w:rFonts w:hint="eastAsia" w:ascii="仿宋" w:hAnsi="仿宋" w:eastAsia="仿宋" w:cs="仿宋"/>
                <w:b/>
                <w:bCs/>
                <w:sz w:val="28"/>
                <w:szCs w:val="28"/>
              </w:rPr>
              <w:t>教师活动</w:t>
            </w:r>
          </w:p>
        </w:tc>
        <w:tc>
          <w:tcPr>
            <w:tcW w:w="2895" w:type="dxa"/>
            <w:shd w:val="clear" w:color="auto" w:fill="DEEAF6"/>
            <w:vAlign w:val="top"/>
          </w:tcPr>
          <w:p w14:paraId="08C8F4AA">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368" w:type="dxa"/>
            <w:shd w:val="clear" w:color="auto" w:fill="DEEAF6"/>
            <w:vAlign w:val="top"/>
          </w:tcPr>
          <w:p w14:paraId="3FB0C866">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0FD02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shd w:val="clear" w:color="auto" w:fill="auto"/>
            <w:vAlign w:val="top"/>
          </w:tcPr>
          <w:p w14:paraId="6B3B7C69">
            <w:pPr>
              <w:spacing w:line="360" w:lineRule="auto"/>
              <w:rPr>
                <w:rFonts w:ascii="仿宋" w:hAnsi="仿宋" w:eastAsia="仿宋" w:cs="仿宋"/>
                <w:sz w:val="24"/>
              </w:rPr>
            </w:pPr>
            <w:r>
              <w:rPr>
                <w:rFonts w:hint="eastAsia" w:ascii="仿宋" w:hAnsi="仿宋" w:eastAsia="仿宋" w:cs="仿宋"/>
                <w:sz w:val="24"/>
              </w:rPr>
              <w:t>知识回顾</w:t>
            </w:r>
          </w:p>
          <w:p w14:paraId="10CE0261">
            <w:pPr>
              <w:spacing w:line="360" w:lineRule="auto"/>
            </w:pPr>
            <w:r>
              <w:rPr>
                <w:rFonts w:ascii="仿宋" w:hAnsi="仿宋" w:eastAsia="仿宋" w:cs="仿宋"/>
                <w:sz w:val="24"/>
              </w:rPr>
              <w:drawing>
                <wp:inline distT="0" distB="0" distL="114300" distR="114300">
                  <wp:extent cx="1054100" cy="1390650"/>
                  <wp:effectExtent l="0" t="0" r="12700" b="0"/>
                  <wp:docPr id="7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0"/>
                          <pic:cNvPicPr>
                            <a:picLocks noChangeAspect="1"/>
                          </pic:cNvPicPr>
                        </pic:nvPicPr>
                        <pic:blipFill>
                          <a:blip r:embed="rId15"/>
                          <a:srcRect l="1852" t="19287" r="-4321" b="44643"/>
                          <a:stretch>
                            <a:fillRect/>
                          </a:stretch>
                        </pic:blipFill>
                        <pic:spPr>
                          <a:xfrm>
                            <a:off x="0" y="0"/>
                            <a:ext cx="1054100" cy="1390650"/>
                          </a:xfrm>
                          <a:prstGeom prst="rect">
                            <a:avLst/>
                          </a:prstGeom>
                          <a:noFill/>
                          <a:ln>
                            <a:noFill/>
                          </a:ln>
                        </pic:spPr>
                      </pic:pic>
                    </a:graphicData>
                  </a:graphic>
                </wp:inline>
              </w:drawing>
            </w:r>
            <w:r>
              <w:rPr>
                <w:rFonts w:hint="eastAsia" w:ascii="仿宋" w:hAnsi="仿宋" w:eastAsia="仿宋" w:cs="仿宋"/>
                <w:sz w:val="24"/>
              </w:rPr>
              <w:t xml:space="preserve">                                                </w:t>
            </w:r>
            <w:r>
              <w:rPr>
                <w:rFonts w:ascii="仿宋" w:hAnsi="仿宋" w:eastAsia="仿宋" w:cs="仿宋"/>
                <w:sz w:val="24"/>
              </w:rPr>
              <w:t xml:space="preserve">                  </w:t>
            </w:r>
          </w:p>
        </w:tc>
        <w:tc>
          <w:tcPr>
            <w:tcW w:w="2430" w:type="dxa"/>
            <w:shd w:val="clear" w:color="auto" w:fill="auto"/>
            <w:vAlign w:val="top"/>
          </w:tcPr>
          <w:p w14:paraId="30475CDA">
            <w:pPr>
              <w:spacing w:line="360" w:lineRule="auto"/>
              <w:jc w:val="left"/>
              <w:rPr>
                <w:rFonts w:ascii="仿宋" w:hAnsi="仿宋" w:eastAsia="仿宋" w:cs="仿宋"/>
                <w:sz w:val="24"/>
              </w:rPr>
            </w:pPr>
            <w:r>
              <w:rPr>
                <w:rFonts w:hint="eastAsia" w:ascii="仿宋" w:hAnsi="仿宋" w:eastAsia="仿宋" w:cs="仿宋"/>
                <w:sz w:val="24"/>
              </w:rPr>
              <w:t>1.思维导图呈现单元七知识框架</w:t>
            </w:r>
          </w:p>
          <w:p w14:paraId="0818BC83">
            <w:pPr>
              <w:spacing w:line="360" w:lineRule="auto"/>
              <w:jc w:val="left"/>
              <w:rPr>
                <w:rFonts w:ascii="仿宋" w:hAnsi="仿宋" w:eastAsia="仿宋" w:cs="仿宋"/>
                <w:sz w:val="24"/>
              </w:rPr>
            </w:pPr>
            <w:r>
              <w:rPr>
                <w:rFonts w:hint="eastAsia" w:ascii="仿宋" w:hAnsi="仿宋" w:eastAsia="仿宋" w:cs="仿宋"/>
                <w:sz w:val="24"/>
              </w:rPr>
              <w:t>2.回顾单元七任务重要内容</w:t>
            </w:r>
          </w:p>
          <w:p w14:paraId="7407B787">
            <w:pPr>
              <w:spacing w:line="360" w:lineRule="auto"/>
              <w:jc w:val="left"/>
              <w:rPr>
                <w:rFonts w:ascii="仿宋" w:hAnsi="仿宋" w:eastAsia="仿宋" w:cs="仿宋"/>
                <w:sz w:val="24"/>
              </w:rPr>
            </w:pPr>
          </w:p>
        </w:tc>
        <w:tc>
          <w:tcPr>
            <w:tcW w:w="2895" w:type="dxa"/>
            <w:shd w:val="clear" w:color="auto" w:fill="FFFFFF"/>
            <w:vAlign w:val="top"/>
          </w:tcPr>
          <w:p w14:paraId="46BA7BA8">
            <w:pPr>
              <w:tabs>
                <w:tab w:val="left" w:pos="312"/>
              </w:tabs>
              <w:spacing w:line="360" w:lineRule="auto"/>
              <w:jc w:val="left"/>
              <w:rPr>
                <w:rFonts w:ascii="仿宋" w:hAnsi="仿宋" w:eastAsia="仿宋" w:cs="仿宋"/>
                <w:sz w:val="24"/>
              </w:rPr>
            </w:pPr>
            <w:r>
              <w:rPr>
                <w:rFonts w:hint="eastAsia" w:ascii="仿宋" w:hAnsi="仿宋" w:eastAsia="仿宋" w:cs="仿宋"/>
                <w:sz w:val="24"/>
              </w:rPr>
              <w:t>结合思维导图回顾前期学习相关内容</w:t>
            </w:r>
          </w:p>
          <w:p w14:paraId="152E5211">
            <w:pPr>
              <w:spacing w:line="360" w:lineRule="auto"/>
              <w:jc w:val="left"/>
              <w:rPr>
                <w:rFonts w:ascii="仿宋" w:hAnsi="仿宋" w:eastAsia="仿宋" w:cs="仿宋"/>
                <w:sz w:val="24"/>
              </w:rPr>
            </w:pPr>
          </w:p>
        </w:tc>
        <w:tc>
          <w:tcPr>
            <w:tcW w:w="3368" w:type="dxa"/>
            <w:vAlign w:val="top"/>
          </w:tcPr>
          <w:p w14:paraId="4A3F7AB3">
            <w:pPr>
              <w:spacing w:line="360" w:lineRule="auto"/>
              <w:rPr>
                <w:rFonts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42883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67626EFF">
            <w:pPr>
              <w:spacing w:line="360" w:lineRule="auto"/>
              <w:jc w:val="left"/>
              <w:rPr>
                <w:rFonts w:ascii="仿宋" w:hAnsi="仿宋" w:eastAsia="仿宋" w:cs="仿宋"/>
                <w:sz w:val="24"/>
              </w:rPr>
            </w:pPr>
            <w:r>
              <w:rPr>
                <w:rFonts w:hint="eastAsia" w:ascii="仿宋" w:hAnsi="仿宋" w:eastAsia="仿宋" w:cs="仿宋"/>
                <w:sz w:val="24"/>
              </w:rPr>
              <w:t>课前调研结果分析</w:t>
            </w:r>
          </w:p>
          <w:p w14:paraId="5FE8BBE2">
            <w:pPr>
              <w:spacing w:line="360" w:lineRule="auto"/>
              <w:jc w:val="left"/>
              <w:rPr>
                <w:rFonts w:ascii="仿宋" w:hAnsi="仿宋" w:eastAsia="仿宋" w:cs="仿宋"/>
                <w:sz w:val="24"/>
              </w:rPr>
            </w:pPr>
          </w:p>
          <w:p w14:paraId="0BEAD73B">
            <w:pPr>
              <w:spacing w:line="360" w:lineRule="auto"/>
              <w:jc w:val="left"/>
              <w:rPr>
                <w:rFonts w:ascii="仿宋" w:hAnsi="仿宋" w:eastAsia="仿宋" w:cs="仿宋"/>
                <w:sz w:val="24"/>
              </w:rPr>
            </w:pPr>
          </w:p>
          <w:p w14:paraId="24E5DAB0">
            <w:pPr>
              <w:spacing w:line="360" w:lineRule="auto"/>
              <w:jc w:val="left"/>
              <w:rPr>
                <w:rFonts w:ascii="仿宋" w:hAnsi="仿宋" w:eastAsia="仿宋" w:cs="仿宋"/>
                <w:sz w:val="24"/>
              </w:rPr>
            </w:pPr>
          </w:p>
        </w:tc>
        <w:tc>
          <w:tcPr>
            <w:tcW w:w="2430" w:type="dxa"/>
            <w:vAlign w:val="top"/>
          </w:tcPr>
          <w:p w14:paraId="031B5E3D">
            <w:pPr>
              <w:spacing w:line="360" w:lineRule="auto"/>
              <w:jc w:val="left"/>
              <w:rPr>
                <w:rFonts w:ascii="仿宋" w:hAnsi="仿宋" w:eastAsia="仿宋" w:cs="仿宋"/>
                <w:sz w:val="24"/>
              </w:rPr>
            </w:pPr>
            <w:r>
              <w:rPr>
                <w:rFonts w:hint="eastAsia" w:ascii="仿宋" w:hAnsi="仿宋" w:eastAsia="仿宋" w:cs="仿宋"/>
                <w:sz w:val="24"/>
              </w:rPr>
              <w:t>1.呈现问卷调研结果</w:t>
            </w:r>
          </w:p>
          <w:p w14:paraId="16EE6697">
            <w:pPr>
              <w:spacing w:line="360" w:lineRule="auto"/>
              <w:jc w:val="left"/>
              <w:rPr>
                <w:rFonts w:ascii="仿宋" w:hAnsi="仿宋" w:eastAsia="仿宋" w:cs="仿宋"/>
                <w:sz w:val="24"/>
              </w:rPr>
            </w:pPr>
          </w:p>
          <w:p w14:paraId="47825A58">
            <w:pPr>
              <w:spacing w:line="360" w:lineRule="auto"/>
              <w:rPr>
                <w:rFonts w:ascii="仿宋" w:hAnsi="仿宋" w:eastAsia="仿宋" w:cs="仿宋"/>
                <w:sz w:val="24"/>
              </w:rPr>
            </w:pPr>
            <w:r>
              <w:rPr>
                <w:rFonts w:hint="eastAsia" w:ascii="仿宋" w:hAnsi="仿宋" w:eastAsia="仿宋" w:cs="仿宋"/>
                <w:sz w:val="24"/>
              </w:rPr>
              <w:t>2.总结问卷中存在的问题</w:t>
            </w:r>
          </w:p>
        </w:tc>
        <w:tc>
          <w:tcPr>
            <w:tcW w:w="2895" w:type="dxa"/>
            <w:vAlign w:val="top"/>
          </w:tcPr>
          <w:p w14:paraId="50D9056B">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观看问卷调研结果</w:t>
            </w:r>
          </w:p>
          <w:p w14:paraId="3D63F2C2">
            <w:pPr>
              <w:spacing w:line="360" w:lineRule="auto"/>
              <w:jc w:val="left"/>
              <w:rPr>
                <w:rFonts w:ascii="仿宋" w:hAnsi="仿宋" w:eastAsia="仿宋" w:cs="仿宋"/>
                <w:sz w:val="24"/>
              </w:rPr>
            </w:pPr>
          </w:p>
          <w:p w14:paraId="0C996F01">
            <w:pPr>
              <w:spacing w:line="360" w:lineRule="auto"/>
              <w:jc w:val="left"/>
              <w:rPr>
                <w:rFonts w:ascii="仿宋" w:hAnsi="仿宋" w:eastAsia="仿宋" w:cs="仿宋"/>
                <w:sz w:val="24"/>
              </w:rPr>
            </w:pPr>
            <w:r>
              <w:rPr>
                <w:rFonts w:hint="eastAsia" w:ascii="仿宋" w:hAnsi="仿宋" w:eastAsia="仿宋" w:cs="仿宋"/>
                <w:sz w:val="24"/>
              </w:rPr>
              <w:t>2.呈现问卷及调查结果所暴露的问题</w:t>
            </w:r>
          </w:p>
        </w:tc>
        <w:tc>
          <w:tcPr>
            <w:tcW w:w="3368" w:type="dxa"/>
            <w:vAlign w:val="top"/>
          </w:tcPr>
          <w:p w14:paraId="30A9D76B">
            <w:pPr>
              <w:spacing w:line="360" w:lineRule="auto"/>
              <w:rPr>
                <w:rFonts w:ascii="仿宋" w:hAnsi="仿宋" w:eastAsia="仿宋" w:cs="仿宋"/>
                <w:b/>
                <w:bCs/>
                <w:color w:val="FF0000"/>
                <w:sz w:val="24"/>
              </w:rPr>
            </w:pPr>
            <w:r>
              <w:rPr>
                <w:rFonts w:hint="eastAsia" w:ascii="仿宋" w:hAnsi="仿宋" w:eastAsia="仿宋" w:cs="仿宋"/>
                <w:sz w:val="24"/>
              </w:rPr>
              <w:t>通过问卷的调查结果，使老师更好的了解学生对前期课程内容的掌握情况、学习兴趣及对新知识的不足。调研结果的呈现使学生更充分的认识自己，引起学生的重视，激发学生学习兴趣，同时为后面内容做好了铺垫。</w:t>
            </w:r>
            <w:r>
              <w:rPr>
                <w:rFonts w:hint="eastAsia" w:ascii="仿宋" w:hAnsi="仿宋" w:eastAsia="仿宋" w:cs="仿宋"/>
                <w:b/>
                <w:bCs/>
                <w:color w:val="FF0000"/>
                <w:sz w:val="24"/>
              </w:rPr>
              <w:t>通过暴露出来的问题启发学习应有认真严谨的学习态度，努力培养伦理道德思想和理念。</w:t>
            </w:r>
          </w:p>
        </w:tc>
      </w:tr>
      <w:tr w14:paraId="780E0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797FB7BC">
            <w:pPr>
              <w:spacing w:line="360" w:lineRule="auto"/>
              <w:jc w:val="left"/>
              <w:rPr>
                <w:rFonts w:ascii="仿宋" w:hAnsi="仿宋" w:eastAsia="仿宋" w:cs="仿宋"/>
                <w:sz w:val="24"/>
              </w:rPr>
            </w:pPr>
            <w:r>
              <w:rPr>
                <w:rFonts w:hint="eastAsia" w:ascii="仿宋" w:hAnsi="仿宋" w:eastAsia="仿宋" w:cs="仿宋"/>
                <w:sz w:val="24"/>
              </w:rPr>
              <w:t xml:space="preserve">教学目标及重难点                </w:t>
            </w:r>
            <w:r>
              <w:rPr>
                <w:rFonts w:ascii="仿宋" w:hAnsi="仿宋" w:eastAsia="仿宋" w:cs="仿宋"/>
                <w:sz w:val="24"/>
              </w:rPr>
              <w:t xml:space="preserve">  </w:t>
            </w:r>
          </w:p>
          <w:p w14:paraId="46714CA6">
            <w:pPr>
              <w:spacing w:line="360" w:lineRule="auto"/>
              <w:jc w:val="left"/>
              <w:rPr>
                <w:rFonts w:ascii="仿宋" w:hAnsi="仿宋" w:eastAsia="仿宋" w:cs="仿宋"/>
                <w:sz w:val="24"/>
              </w:rPr>
            </w:pPr>
          </w:p>
        </w:tc>
        <w:tc>
          <w:tcPr>
            <w:tcW w:w="2430" w:type="dxa"/>
            <w:vAlign w:val="top"/>
          </w:tcPr>
          <w:p w14:paraId="549735F3">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结合问卷暴露的问题展示本节课的教学目标及重点和难点</w:t>
            </w:r>
          </w:p>
        </w:tc>
        <w:tc>
          <w:tcPr>
            <w:tcW w:w="2895" w:type="dxa"/>
            <w:vAlign w:val="top"/>
          </w:tcPr>
          <w:p w14:paraId="12A57848">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聆听、思考</w:t>
            </w:r>
          </w:p>
        </w:tc>
        <w:tc>
          <w:tcPr>
            <w:tcW w:w="3368" w:type="dxa"/>
            <w:vAlign w:val="top"/>
          </w:tcPr>
          <w:p w14:paraId="2974E6C1">
            <w:pPr>
              <w:spacing w:line="360" w:lineRule="auto"/>
              <w:rPr>
                <w:rFonts w:ascii="仿宋" w:hAnsi="仿宋" w:eastAsia="仿宋" w:cs="仿宋"/>
                <w:sz w:val="24"/>
              </w:rPr>
            </w:pPr>
            <w:r>
              <w:rPr>
                <w:rFonts w:hint="eastAsia" w:ascii="仿宋" w:hAnsi="仿宋" w:eastAsia="仿宋" w:cs="仿宋"/>
                <w:sz w:val="24"/>
              </w:rPr>
              <w:t>由问题导出目标和重点难点，引起学生的学习兴趣，更好的解决重点和难点。</w:t>
            </w:r>
          </w:p>
        </w:tc>
      </w:tr>
      <w:tr w14:paraId="2CC1B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123415CF">
            <w:pPr>
              <w:spacing w:line="360" w:lineRule="auto"/>
              <w:jc w:val="left"/>
              <w:rPr>
                <w:rFonts w:ascii="仿宋" w:hAnsi="仿宋" w:eastAsia="仿宋" w:cs="仿宋"/>
                <w:sz w:val="24"/>
              </w:rPr>
            </w:pPr>
            <w:r>
              <w:rPr>
                <w:rFonts w:hint="eastAsia" w:ascii="仿宋" w:hAnsi="仿宋" w:eastAsia="仿宋" w:cs="仿宋"/>
                <w:sz w:val="24"/>
              </w:rPr>
              <w:t>护理科研的护理概述</w:t>
            </w:r>
            <w:r>
              <w:rPr>
                <w:rFonts w:ascii="仿宋" w:hAnsi="仿宋" w:eastAsia="仿宋" w:cs="仿宋"/>
                <w:sz w:val="24"/>
              </w:rPr>
              <w:drawing>
                <wp:inline distT="0" distB="0" distL="114300" distR="114300">
                  <wp:extent cx="1041400" cy="1162050"/>
                  <wp:effectExtent l="0" t="0" r="6350" b="0"/>
                  <wp:docPr id="83" name="图片 5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1" descr="4"/>
                          <pic:cNvPicPr>
                            <a:picLocks noChangeAspect="1"/>
                          </pic:cNvPicPr>
                        </pic:nvPicPr>
                        <pic:blipFill>
                          <a:blip r:embed="rId16"/>
                          <a:srcRect l="6790" t="15430" r="6172" b="51814"/>
                          <a:stretch>
                            <a:fillRect/>
                          </a:stretch>
                        </pic:blipFill>
                        <pic:spPr>
                          <a:xfrm>
                            <a:off x="0" y="0"/>
                            <a:ext cx="1041400" cy="1162050"/>
                          </a:xfrm>
                          <a:prstGeom prst="rect">
                            <a:avLst/>
                          </a:prstGeom>
                          <a:noFill/>
                          <a:ln>
                            <a:noFill/>
                          </a:ln>
                        </pic:spPr>
                      </pic:pic>
                    </a:graphicData>
                  </a:graphic>
                </wp:inline>
              </w:drawing>
            </w:r>
          </w:p>
        </w:tc>
        <w:tc>
          <w:tcPr>
            <w:tcW w:w="2430" w:type="dxa"/>
            <w:vAlign w:val="top"/>
          </w:tcPr>
          <w:p w14:paraId="21E9214A">
            <w:pPr>
              <w:numPr>
                <w:ilvl w:val="0"/>
                <w:numId w:val="2"/>
              </w:numPr>
              <w:spacing w:line="360" w:lineRule="auto"/>
              <w:rPr>
                <w:rFonts w:ascii="仿宋" w:hAnsi="仿宋" w:eastAsia="仿宋" w:cs="仿宋"/>
                <w:sz w:val="24"/>
              </w:rPr>
            </w:pPr>
            <w:r>
              <w:rPr>
                <w:rFonts w:hint="eastAsia" w:ascii="仿宋" w:hAnsi="仿宋" w:eastAsia="仿宋" w:cs="仿宋"/>
                <w:sz w:val="24"/>
              </w:rPr>
              <w:t>讲解护理研究的特点及护理伦理的意义</w:t>
            </w:r>
          </w:p>
          <w:p w14:paraId="58099EF6">
            <w:pPr>
              <w:numPr>
                <w:ilvl w:val="0"/>
                <w:numId w:val="2"/>
              </w:numPr>
              <w:spacing w:line="360" w:lineRule="auto"/>
              <w:rPr>
                <w:rFonts w:ascii="仿宋" w:hAnsi="仿宋" w:eastAsia="仿宋" w:cs="仿宋"/>
                <w:sz w:val="24"/>
              </w:rPr>
            </w:pPr>
            <w:r>
              <w:rPr>
                <w:rFonts w:hint="eastAsia" w:ascii="仿宋" w:hAnsi="仿宋" w:eastAsia="仿宋" w:cs="仿宋"/>
                <w:sz w:val="24"/>
              </w:rPr>
              <w:t>讲解护理科研的伦理分析</w:t>
            </w:r>
          </w:p>
          <w:p w14:paraId="3D93E4DD">
            <w:pPr>
              <w:spacing w:line="360" w:lineRule="auto"/>
              <w:rPr>
                <w:rFonts w:ascii="仿宋" w:hAnsi="仿宋" w:eastAsia="仿宋" w:cs="仿宋"/>
                <w:sz w:val="24"/>
              </w:rPr>
            </w:pPr>
            <w:r>
              <w:rPr>
                <w:rFonts w:ascii="仿宋" w:hAnsi="仿宋" w:eastAsia="仿宋" w:cs="仿宋"/>
                <w:sz w:val="24"/>
              </w:rPr>
              <w:t>3</w:t>
            </w:r>
            <w:r>
              <w:rPr>
                <w:rFonts w:hint="eastAsia" w:ascii="仿宋" w:hAnsi="仿宋" w:eastAsia="仿宋" w:cs="仿宋"/>
                <w:sz w:val="24"/>
              </w:rPr>
              <w:t>.结合学生分析结果及案例归纳讲解护理研究的伦理规范</w:t>
            </w:r>
          </w:p>
        </w:tc>
        <w:tc>
          <w:tcPr>
            <w:tcW w:w="2895" w:type="dxa"/>
            <w:vAlign w:val="top"/>
          </w:tcPr>
          <w:p w14:paraId="5CE147D5">
            <w:pPr>
              <w:spacing w:line="360" w:lineRule="auto"/>
              <w:jc w:val="left"/>
              <w:rPr>
                <w:rFonts w:ascii="仿宋" w:hAnsi="仿宋" w:eastAsia="仿宋" w:cs="仿宋"/>
                <w:sz w:val="24"/>
              </w:rPr>
            </w:pPr>
            <w:r>
              <w:rPr>
                <w:rFonts w:hint="eastAsia" w:ascii="仿宋" w:hAnsi="仿宋" w:eastAsia="仿宋" w:cs="仿宋"/>
                <w:sz w:val="24"/>
              </w:rPr>
              <w:t>1.聆听、思考</w:t>
            </w:r>
          </w:p>
          <w:p w14:paraId="1B3A13FE">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3368" w:type="dxa"/>
            <w:vAlign w:val="top"/>
          </w:tcPr>
          <w:p w14:paraId="07371E41">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按照</w:t>
            </w:r>
            <w:r>
              <w:rPr>
                <w:rFonts w:hint="eastAsia" w:ascii="仿宋" w:hAnsi="仿宋" w:eastAsia="仿宋" w:cs="仿宋"/>
                <w:b/>
                <w:bCs/>
                <w:color w:val="FF0000"/>
                <w:sz w:val="24"/>
              </w:rPr>
              <w:t>“概念”-“伦理分析能力”-“伦理规范”</w:t>
            </w:r>
            <w:r>
              <w:rPr>
                <w:rFonts w:hint="eastAsia" w:ascii="仿宋" w:hAnsi="仿宋" w:eastAsia="仿宋" w:cs="仿宋"/>
                <w:sz w:val="24"/>
              </w:rPr>
              <w:t>的思路讲护理研究的特点及护理伦理的意义的内容，条例清楚，易于学生理解。</w:t>
            </w:r>
          </w:p>
          <w:p w14:paraId="7EA24AE0">
            <w:pPr>
              <w:tabs>
                <w:tab w:val="left" w:pos="312"/>
              </w:tabs>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通过护理研究的特点及护理伦理的意义内容的讲解</w:t>
            </w:r>
            <w:r>
              <w:rPr>
                <w:rFonts w:hint="eastAsia" w:ascii="仿宋" w:hAnsi="仿宋" w:eastAsia="仿宋" w:cs="仿宋"/>
                <w:b/>
                <w:bCs/>
                <w:color w:val="FF0000"/>
                <w:sz w:val="24"/>
              </w:rPr>
              <w:t>启发学生扎实储备、严谨求实、一丝不苟的科研精神。</w:t>
            </w:r>
          </w:p>
        </w:tc>
      </w:tr>
      <w:tr w14:paraId="1DCBC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118FA7C6">
            <w:pPr>
              <w:spacing w:line="360" w:lineRule="auto"/>
              <w:jc w:val="left"/>
              <w:rPr>
                <w:rFonts w:ascii="仿宋" w:hAnsi="仿宋" w:eastAsia="仿宋" w:cs="仿宋"/>
                <w:sz w:val="24"/>
              </w:rPr>
            </w:pPr>
            <w:r>
              <w:rPr>
                <w:rFonts w:hint="eastAsia" w:ascii="仿宋" w:hAnsi="仿宋" w:eastAsia="仿宋" w:cs="仿宋"/>
                <w:sz w:val="24"/>
              </w:rPr>
              <w:t>人体实验伦理</w:t>
            </w:r>
          </w:p>
          <w:p w14:paraId="58611907">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1400" cy="1162050"/>
                  <wp:effectExtent l="0" t="0" r="6350" b="0"/>
                  <wp:docPr id="78" name="图片 5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2" descr="4"/>
                          <pic:cNvPicPr>
                            <a:picLocks noChangeAspect="1"/>
                          </pic:cNvPicPr>
                        </pic:nvPicPr>
                        <pic:blipFill>
                          <a:blip r:embed="rId16"/>
                          <a:srcRect l="6790" t="15430" r="6172" b="51814"/>
                          <a:stretch>
                            <a:fillRect/>
                          </a:stretch>
                        </pic:blipFill>
                        <pic:spPr>
                          <a:xfrm>
                            <a:off x="0" y="0"/>
                            <a:ext cx="1041400" cy="1162050"/>
                          </a:xfrm>
                          <a:prstGeom prst="rect">
                            <a:avLst/>
                          </a:prstGeom>
                          <a:noFill/>
                          <a:ln>
                            <a:noFill/>
                          </a:ln>
                        </pic:spPr>
                      </pic:pic>
                    </a:graphicData>
                  </a:graphic>
                </wp:inline>
              </w:drawing>
            </w:r>
          </w:p>
        </w:tc>
        <w:tc>
          <w:tcPr>
            <w:tcW w:w="2430" w:type="dxa"/>
            <w:vAlign w:val="top"/>
          </w:tcPr>
          <w:p w14:paraId="7F60C17E">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讲解人体实验伦理特点及意义</w:t>
            </w:r>
          </w:p>
          <w:p w14:paraId="3DEBFF5A">
            <w:pPr>
              <w:tabs>
                <w:tab w:val="left" w:pos="312"/>
              </w:tabs>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讲解人体实验伦理的伦理分析</w:t>
            </w:r>
          </w:p>
          <w:p w14:paraId="21AFEDD9">
            <w:pPr>
              <w:spacing w:line="360" w:lineRule="auto"/>
              <w:rPr>
                <w:rFonts w:ascii="仿宋" w:hAnsi="仿宋" w:eastAsia="仿宋" w:cs="仿宋"/>
                <w:sz w:val="24"/>
              </w:rPr>
            </w:pPr>
          </w:p>
          <w:p w14:paraId="7544629D">
            <w:pPr>
              <w:spacing w:line="360" w:lineRule="auto"/>
              <w:rPr>
                <w:rFonts w:ascii="仿宋" w:hAnsi="仿宋" w:eastAsia="仿宋" w:cs="仿宋"/>
                <w:sz w:val="24"/>
              </w:rPr>
            </w:pPr>
            <w:r>
              <w:rPr>
                <w:rFonts w:ascii="仿宋" w:hAnsi="仿宋" w:eastAsia="仿宋" w:cs="仿宋"/>
                <w:sz w:val="24"/>
              </w:rPr>
              <w:t>3</w:t>
            </w:r>
            <w:r>
              <w:rPr>
                <w:rFonts w:hint="eastAsia" w:ascii="仿宋" w:hAnsi="仿宋" w:eastAsia="仿宋" w:cs="仿宋"/>
                <w:sz w:val="24"/>
              </w:rPr>
              <w:t>.结合学生分析结果及案例归纳讲解人体实验伦理的伦理规范</w:t>
            </w:r>
          </w:p>
          <w:p w14:paraId="0A98A581">
            <w:pPr>
              <w:spacing w:line="360" w:lineRule="auto"/>
              <w:rPr>
                <w:rFonts w:ascii="仿宋" w:hAnsi="仿宋" w:eastAsia="仿宋" w:cs="仿宋"/>
                <w:sz w:val="24"/>
              </w:rPr>
            </w:pPr>
          </w:p>
        </w:tc>
        <w:tc>
          <w:tcPr>
            <w:tcW w:w="2895" w:type="dxa"/>
            <w:vAlign w:val="top"/>
          </w:tcPr>
          <w:p w14:paraId="5BF13173">
            <w:pPr>
              <w:spacing w:line="360" w:lineRule="auto"/>
              <w:jc w:val="left"/>
              <w:rPr>
                <w:rFonts w:ascii="仿宋" w:hAnsi="仿宋" w:eastAsia="仿宋" w:cs="仿宋"/>
                <w:sz w:val="24"/>
              </w:rPr>
            </w:pPr>
            <w:r>
              <w:rPr>
                <w:rFonts w:hint="eastAsia" w:ascii="仿宋" w:hAnsi="仿宋" w:eastAsia="仿宋" w:cs="仿宋"/>
                <w:sz w:val="24"/>
              </w:rPr>
              <w:t>1.案例分析、小组讨论</w:t>
            </w:r>
          </w:p>
          <w:p w14:paraId="2396A4B7">
            <w:pPr>
              <w:spacing w:line="360" w:lineRule="auto"/>
              <w:jc w:val="left"/>
              <w:rPr>
                <w:rFonts w:ascii="仿宋" w:hAnsi="仿宋" w:eastAsia="仿宋" w:cs="仿宋"/>
                <w:sz w:val="24"/>
              </w:rPr>
            </w:pPr>
          </w:p>
          <w:p w14:paraId="3F477B5F">
            <w:pPr>
              <w:tabs>
                <w:tab w:val="left" w:pos="312"/>
              </w:tabs>
              <w:spacing w:line="360" w:lineRule="auto"/>
              <w:jc w:val="left"/>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思考、启发回答</w:t>
            </w:r>
          </w:p>
          <w:p w14:paraId="1F5611A0">
            <w:pPr>
              <w:spacing w:line="360" w:lineRule="auto"/>
              <w:jc w:val="left"/>
              <w:rPr>
                <w:rFonts w:ascii="仿宋" w:hAnsi="仿宋" w:eastAsia="仿宋" w:cs="仿宋"/>
                <w:sz w:val="24"/>
              </w:rPr>
            </w:pPr>
            <w:r>
              <w:rPr>
                <w:rFonts w:hint="eastAsia" w:ascii="仿宋" w:hAnsi="仿宋" w:eastAsia="仿宋" w:cs="仿宋"/>
                <w:sz w:val="24"/>
              </w:rPr>
              <w:t>聆听、知识内化</w:t>
            </w:r>
          </w:p>
        </w:tc>
        <w:tc>
          <w:tcPr>
            <w:tcW w:w="3368" w:type="dxa"/>
            <w:vAlign w:val="top"/>
          </w:tcPr>
          <w:p w14:paraId="73164948">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按照</w:t>
            </w:r>
            <w:r>
              <w:rPr>
                <w:rFonts w:hint="eastAsia" w:ascii="仿宋" w:hAnsi="仿宋" w:eastAsia="仿宋" w:cs="仿宋"/>
                <w:b/>
                <w:bCs/>
                <w:color w:val="FF0000"/>
                <w:sz w:val="24"/>
              </w:rPr>
              <w:t>“概念”-“伦理分析能力”-“伦理规范”</w:t>
            </w:r>
            <w:r>
              <w:rPr>
                <w:rFonts w:hint="eastAsia" w:ascii="仿宋" w:hAnsi="仿宋" w:eastAsia="仿宋" w:cs="仿宋"/>
                <w:sz w:val="24"/>
              </w:rPr>
              <w:t>的思路讲人体实验伦理的特点及人体实验伦理的意义的内容，条例清楚，易于学生理解。</w:t>
            </w:r>
          </w:p>
          <w:p w14:paraId="412AF93D">
            <w:pPr>
              <w:spacing w:line="360" w:lineRule="auto"/>
              <w:rPr>
                <w:rFonts w:ascii="仿宋" w:hAnsi="仿宋" w:eastAsia="仿宋" w:cs="仿宋"/>
                <w:sz w:val="24"/>
              </w:rPr>
            </w:pPr>
          </w:p>
          <w:p w14:paraId="38C5F4FF">
            <w:pPr>
              <w:spacing w:line="360" w:lineRule="auto"/>
              <w:rPr>
                <w:rFonts w:ascii="仿宋" w:hAnsi="仿宋" w:eastAsia="仿宋" w:cs="仿宋"/>
                <w:b/>
                <w:bCs/>
                <w:color w:val="FF0000"/>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3BABF359">
            <w:pPr>
              <w:spacing w:line="360" w:lineRule="auto"/>
              <w:rPr>
                <w:rFonts w:ascii="仿宋" w:hAnsi="仿宋" w:eastAsia="仿宋" w:cs="仿宋"/>
                <w:b/>
                <w:bCs/>
                <w:color w:val="FF0000"/>
                <w:sz w:val="24"/>
              </w:rPr>
            </w:pPr>
          </w:p>
          <w:p w14:paraId="3560ADA0">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结合学生案例分析结果、教师归纳讲解使知识体系更完整，也易于学生理解和掌握。通过应急护理伦理</w:t>
            </w:r>
            <w:r>
              <w:rPr>
                <w:rFonts w:hint="eastAsia" w:ascii="仿宋" w:hAnsi="仿宋" w:eastAsia="仿宋" w:cs="仿宋"/>
                <w:b/>
                <w:bCs/>
                <w:color w:val="FF0000"/>
                <w:sz w:val="24"/>
              </w:rPr>
              <w:t>启发学生敬业奉献、人道主义、团结协作和贯彻法治的精神。</w:t>
            </w:r>
          </w:p>
        </w:tc>
      </w:tr>
      <w:tr w14:paraId="0F7F6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522941AF">
            <w:pPr>
              <w:spacing w:line="360" w:lineRule="auto"/>
              <w:jc w:val="left"/>
              <w:rPr>
                <w:rFonts w:ascii="仿宋" w:hAnsi="仿宋" w:eastAsia="仿宋" w:cs="仿宋"/>
                <w:sz w:val="24"/>
              </w:rPr>
            </w:pPr>
            <w:r>
              <w:rPr>
                <w:rFonts w:hint="eastAsia" w:ascii="仿宋" w:hAnsi="仿宋" w:eastAsia="仿宋" w:cs="仿宋"/>
                <w:sz w:val="24"/>
              </w:rPr>
              <w:t>科研越轨行为的危害及社会控制（一）</w:t>
            </w:r>
          </w:p>
          <w:p w14:paraId="08E55747">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1400" cy="1162050"/>
                  <wp:effectExtent l="0" t="0" r="6350" b="0"/>
                  <wp:docPr id="84" name="图片 5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3" descr="4"/>
                          <pic:cNvPicPr>
                            <a:picLocks noChangeAspect="1"/>
                          </pic:cNvPicPr>
                        </pic:nvPicPr>
                        <pic:blipFill>
                          <a:blip r:embed="rId16"/>
                          <a:srcRect l="6790" t="15430" r="6172" b="51814"/>
                          <a:stretch>
                            <a:fillRect/>
                          </a:stretch>
                        </pic:blipFill>
                        <pic:spPr>
                          <a:xfrm>
                            <a:off x="0" y="0"/>
                            <a:ext cx="1041400" cy="1162050"/>
                          </a:xfrm>
                          <a:prstGeom prst="rect">
                            <a:avLst/>
                          </a:prstGeom>
                          <a:noFill/>
                          <a:ln>
                            <a:noFill/>
                          </a:ln>
                        </pic:spPr>
                      </pic:pic>
                    </a:graphicData>
                  </a:graphic>
                </wp:inline>
              </w:drawing>
            </w:r>
          </w:p>
        </w:tc>
        <w:tc>
          <w:tcPr>
            <w:tcW w:w="2430" w:type="dxa"/>
            <w:vAlign w:val="top"/>
          </w:tcPr>
          <w:p w14:paraId="2CACC7B5">
            <w:pPr>
              <w:spacing w:line="360" w:lineRule="auto"/>
              <w:rPr>
                <w:rFonts w:ascii="仿宋" w:hAnsi="仿宋" w:eastAsia="仿宋" w:cs="仿宋"/>
                <w:sz w:val="24"/>
              </w:rPr>
            </w:pPr>
            <w:r>
              <w:rPr>
                <w:rFonts w:hint="eastAsia" w:ascii="仿宋" w:hAnsi="仿宋" w:eastAsia="仿宋" w:cs="仿宋"/>
                <w:sz w:val="24"/>
              </w:rPr>
              <w:t>1.讲解科研越轨的概念及科研越轨行为</w:t>
            </w:r>
          </w:p>
          <w:p w14:paraId="3746A54D">
            <w:pPr>
              <w:spacing w:line="360" w:lineRule="auto"/>
              <w:rPr>
                <w:rFonts w:ascii="仿宋" w:hAnsi="仿宋" w:eastAsia="仿宋" w:cs="仿宋"/>
                <w:sz w:val="24"/>
              </w:rPr>
            </w:pPr>
          </w:p>
          <w:p w14:paraId="2C86119B">
            <w:pPr>
              <w:spacing w:line="360" w:lineRule="auto"/>
              <w:rPr>
                <w:rFonts w:ascii="仿宋" w:hAnsi="仿宋" w:eastAsia="仿宋" w:cs="仿宋"/>
                <w:sz w:val="24"/>
              </w:rPr>
            </w:pPr>
          </w:p>
          <w:p w14:paraId="1C095C0A">
            <w:pPr>
              <w:spacing w:line="360" w:lineRule="auto"/>
              <w:rPr>
                <w:rFonts w:ascii="仿宋" w:hAnsi="仿宋" w:eastAsia="仿宋" w:cs="仿宋"/>
                <w:sz w:val="24"/>
              </w:rPr>
            </w:pPr>
            <w:r>
              <w:rPr>
                <w:rFonts w:hint="eastAsia" w:ascii="仿宋" w:hAnsi="仿宋" w:eastAsia="仿宋" w:cs="仿宋"/>
                <w:sz w:val="24"/>
              </w:rPr>
              <w:t>2.提供学生科研越轨的案例，让学生分析科研越轨行为有哪些</w:t>
            </w:r>
          </w:p>
          <w:p w14:paraId="340EB322">
            <w:pPr>
              <w:spacing w:line="360" w:lineRule="auto"/>
              <w:rPr>
                <w:rFonts w:ascii="仿宋" w:hAnsi="仿宋" w:eastAsia="仿宋" w:cs="仿宋"/>
                <w:sz w:val="24"/>
              </w:rPr>
            </w:pPr>
          </w:p>
          <w:p w14:paraId="09D459DF">
            <w:pPr>
              <w:spacing w:line="360" w:lineRule="auto"/>
              <w:rPr>
                <w:rFonts w:ascii="仿宋" w:hAnsi="仿宋" w:eastAsia="仿宋" w:cs="仿宋"/>
                <w:sz w:val="24"/>
              </w:rPr>
            </w:pPr>
          </w:p>
          <w:p w14:paraId="6F6251B5">
            <w:pPr>
              <w:spacing w:line="360" w:lineRule="auto"/>
              <w:rPr>
                <w:rFonts w:ascii="仿宋" w:hAnsi="仿宋" w:eastAsia="仿宋" w:cs="仿宋"/>
                <w:sz w:val="24"/>
              </w:rPr>
            </w:pPr>
            <w:r>
              <w:rPr>
                <w:rFonts w:hint="eastAsia" w:ascii="仿宋" w:hAnsi="仿宋" w:eastAsia="仿宋" w:cs="仿宋"/>
                <w:sz w:val="24"/>
              </w:rPr>
              <w:t>3.结合学生分析结果及案例归纳讲解科研越轨的伦理规范</w:t>
            </w:r>
          </w:p>
          <w:p w14:paraId="167CDFF7">
            <w:pPr>
              <w:spacing w:line="360" w:lineRule="auto"/>
              <w:rPr>
                <w:rFonts w:ascii="仿宋" w:hAnsi="仿宋" w:eastAsia="仿宋" w:cs="仿宋"/>
                <w:sz w:val="24"/>
              </w:rPr>
            </w:pPr>
          </w:p>
        </w:tc>
        <w:tc>
          <w:tcPr>
            <w:tcW w:w="2895" w:type="dxa"/>
            <w:vAlign w:val="top"/>
          </w:tcPr>
          <w:p w14:paraId="01B0DAF7">
            <w:pPr>
              <w:spacing w:line="360" w:lineRule="auto"/>
              <w:jc w:val="left"/>
              <w:rPr>
                <w:rFonts w:ascii="仿宋" w:hAnsi="仿宋" w:eastAsia="仿宋" w:cs="仿宋"/>
                <w:sz w:val="24"/>
              </w:rPr>
            </w:pPr>
            <w:r>
              <w:rPr>
                <w:rFonts w:hint="eastAsia" w:ascii="仿宋" w:hAnsi="仿宋" w:eastAsia="仿宋" w:cs="仿宋"/>
                <w:sz w:val="24"/>
              </w:rPr>
              <w:t>1.聆听、思考</w:t>
            </w:r>
          </w:p>
          <w:p w14:paraId="12050737">
            <w:pPr>
              <w:spacing w:line="360" w:lineRule="auto"/>
              <w:jc w:val="left"/>
              <w:rPr>
                <w:rFonts w:ascii="仿宋" w:hAnsi="仿宋" w:eastAsia="仿宋" w:cs="仿宋"/>
                <w:sz w:val="24"/>
              </w:rPr>
            </w:pPr>
          </w:p>
          <w:p w14:paraId="321E3253">
            <w:pPr>
              <w:spacing w:line="360" w:lineRule="auto"/>
              <w:jc w:val="left"/>
              <w:rPr>
                <w:rFonts w:ascii="仿宋" w:hAnsi="仿宋" w:eastAsia="仿宋" w:cs="仿宋"/>
                <w:sz w:val="24"/>
              </w:rPr>
            </w:pPr>
          </w:p>
          <w:p w14:paraId="4909DF0D">
            <w:pPr>
              <w:spacing w:line="360" w:lineRule="auto"/>
              <w:jc w:val="left"/>
              <w:rPr>
                <w:rFonts w:ascii="仿宋" w:hAnsi="仿宋" w:eastAsia="仿宋" w:cs="仿宋"/>
                <w:sz w:val="24"/>
              </w:rPr>
            </w:pPr>
          </w:p>
          <w:p w14:paraId="3B6EBBDC">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36A93163">
            <w:pPr>
              <w:spacing w:line="360" w:lineRule="auto"/>
              <w:jc w:val="left"/>
              <w:rPr>
                <w:rFonts w:ascii="仿宋" w:hAnsi="仿宋" w:eastAsia="仿宋" w:cs="仿宋"/>
                <w:sz w:val="24"/>
              </w:rPr>
            </w:pPr>
          </w:p>
          <w:p w14:paraId="6D8C5333">
            <w:pPr>
              <w:spacing w:line="360" w:lineRule="auto"/>
              <w:jc w:val="left"/>
              <w:rPr>
                <w:rFonts w:ascii="仿宋" w:hAnsi="仿宋" w:eastAsia="仿宋" w:cs="仿宋"/>
                <w:sz w:val="24"/>
              </w:rPr>
            </w:pPr>
          </w:p>
          <w:p w14:paraId="77FE7DD0">
            <w:pPr>
              <w:spacing w:line="360" w:lineRule="auto"/>
              <w:jc w:val="left"/>
              <w:rPr>
                <w:rFonts w:ascii="仿宋" w:hAnsi="仿宋" w:eastAsia="仿宋" w:cs="仿宋"/>
                <w:sz w:val="24"/>
              </w:rPr>
            </w:pPr>
          </w:p>
          <w:p w14:paraId="3485FCC3">
            <w:pPr>
              <w:spacing w:line="360" w:lineRule="auto"/>
              <w:jc w:val="left"/>
              <w:rPr>
                <w:rFonts w:ascii="仿宋" w:hAnsi="仿宋" w:eastAsia="仿宋" w:cs="仿宋"/>
                <w:sz w:val="24"/>
              </w:rPr>
            </w:pPr>
          </w:p>
          <w:p w14:paraId="757A64C6">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368" w:type="dxa"/>
            <w:vAlign w:val="top"/>
          </w:tcPr>
          <w:p w14:paraId="1A1946CB">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“概念”-“伦理分析能力”-“伦理规范”</w:t>
            </w:r>
            <w:r>
              <w:rPr>
                <w:rFonts w:hint="eastAsia" w:ascii="仿宋" w:hAnsi="仿宋" w:eastAsia="仿宋" w:cs="仿宋"/>
                <w:sz w:val="24"/>
              </w:rPr>
              <w:t>的思路讲授科研越轨的护理伦理内容，条例清楚，易于学生理解。</w:t>
            </w:r>
          </w:p>
          <w:p w14:paraId="6242949E">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690C5C5A">
            <w:pPr>
              <w:spacing w:line="360" w:lineRule="auto"/>
              <w:rPr>
                <w:rFonts w:ascii="仿宋" w:hAnsi="仿宋" w:eastAsia="仿宋" w:cs="仿宋"/>
                <w:b/>
                <w:bCs/>
                <w:color w:val="FF0000"/>
                <w:sz w:val="24"/>
              </w:rPr>
            </w:pPr>
            <w:r>
              <w:rPr>
                <w:rFonts w:hint="eastAsia" w:ascii="仿宋" w:hAnsi="仿宋" w:eastAsia="仿宋" w:cs="仿宋"/>
                <w:sz w:val="24"/>
              </w:rPr>
              <w:t>结合学生案例分析结果、教师归纳讲解使知识体系更完整，也易于学生理解和掌握。通过科研越轨的护理伦理</w:t>
            </w:r>
            <w:r>
              <w:rPr>
                <w:rFonts w:hint="eastAsia" w:ascii="仿宋" w:hAnsi="仿宋" w:eastAsia="仿宋" w:cs="仿宋"/>
                <w:b/>
                <w:bCs/>
                <w:color w:val="FF0000"/>
                <w:sz w:val="24"/>
              </w:rPr>
              <w:t>启发学生严谨求实、认真慎独的精神。</w:t>
            </w:r>
          </w:p>
        </w:tc>
      </w:tr>
      <w:tr w14:paraId="579A1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7E06F526">
            <w:pPr>
              <w:spacing w:line="360" w:lineRule="auto"/>
              <w:jc w:val="left"/>
              <w:rPr>
                <w:rFonts w:ascii="仿宋" w:hAnsi="仿宋" w:eastAsia="仿宋" w:cs="仿宋"/>
                <w:sz w:val="24"/>
              </w:rPr>
            </w:pPr>
            <w:r>
              <w:rPr>
                <w:rFonts w:hint="eastAsia" w:ascii="仿宋" w:hAnsi="仿宋" w:eastAsia="仿宋" w:cs="仿宋"/>
                <w:sz w:val="24"/>
              </w:rPr>
              <w:t>科研越轨行为的危害及社会控制（二）</w:t>
            </w:r>
          </w:p>
          <w:p w14:paraId="3D4A233E">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1400" cy="1162050"/>
                  <wp:effectExtent l="0" t="0" r="6350" b="0"/>
                  <wp:docPr id="79" name="图片 5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4" descr="4"/>
                          <pic:cNvPicPr>
                            <a:picLocks noChangeAspect="1"/>
                          </pic:cNvPicPr>
                        </pic:nvPicPr>
                        <pic:blipFill>
                          <a:blip r:embed="rId16"/>
                          <a:srcRect l="6790" t="15430" r="6172" b="51814"/>
                          <a:stretch>
                            <a:fillRect/>
                          </a:stretch>
                        </pic:blipFill>
                        <pic:spPr>
                          <a:xfrm>
                            <a:off x="0" y="0"/>
                            <a:ext cx="1041400" cy="1162050"/>
                          </a:xfrm>
                          <a:prstGeom prst="rect">
                            <a:avLst/>
                          </a:prstGeom>
                          <a:noFill/>
                          <a:ln>
                            <a:noFill/>
                          </a:ln>
                        </pic:spPr>
                      </pic:pic>
                    </a:graphicData>
                  </a:graphic>
                </wp:inline>
              </w:drawing>
            </w:r>
          </w:p>
        </w:tc>
        <w:tc>
          <w:tcPr>
            <w:tcW w:w="2430" w:type="dxa"/>
            <w:vAlign w:val="top"/>
          </w:tcPr>
          <w:p w14:paraId="10B89913">
            <w:pPr>
              <w:spacing w:line="360" w:lineRule="auto"/>
              <w:rPr>
                <w:rFonts w:ascii="仿宋" w:hAnsi="仿宋" w:eastAsia="仿宋" w:cs="仿宋"/>
                <w:sz w:val="24"/>
              </w:rPr>
            </w:pPr>
            <w:r>
              <w:rPr>
                <w:rFonts w:hint="eastAsia" w:ascii="仿宋" w:hAnsi="仿宋" w:eastAsia="仿宋" w:cs="仿宋"/>
                <w:sz w:val="24"/>
              </w:rPr>
              <w:t>1.讲解科研越轨行为的危害</w:t>
            </w:r>
          </w:p>
          <w:p w14:paraId="0447CE03">
            <w:pPr>
              <w:spacing w:line="360" w:lineRule="auto"/>
              <w:rPr>
                <w:rFonts w:ascii="仿宋" w:hAnsi="仿宋" w:eastAsia="仿宋" w:cs="仿宋"/>
                <w:sz w:val="24"/>
              </w:rPr>
            </w:pPr>
          </w:p>
          <w:p w14:paraId="63C64A53">
            <w:pPr>
              <w:spacing w:line="360" w:lineRule="auto"/>
              <w:rPr>
                <w:rFonts w:ascii="仿宋" w:hAnsi="仿宋" w:eastAsia="仿宋" w:cs="仿宋"/>
                <w:sz w:val="24"/>
              </w:rPr>
            </w:pPr>
          </w:p>
          <w:p w14:paraId="6C4E32FC">
            <w:pPr>
              <w:spacing w:line="360" w:lineRule="auto"/>
              <w:rPr>
                <w:rFonts w:ascii="仿宋" w:hAnsi="仿宋" w:eastAsia="仿宋" w:cs="仿宋"/>
                <w:sz w:val="24"/>
              </w:rPr>
            </w:pPr>
            <w:r>
              <w:rPr>
                <w:rFonts w:hint="eastAsia" w:ascii="仿宋" w:hAnsi="仿宋" w:eastAsia="仿宋" w:cs="仿宋"/>
                <w:sz w:val="24"/>
              </w:rPr>
              <w:t>2.提供学生家庭病床工作的案例，让学生分析科研越轨行为的危害有哪些</w:t>
            </w:r>
          </w:p>
          <w:p w14:paraId="5F517637">
            <w:pPr>
              <w:spacing w:line="360" w:lineRule="auto"/>
              <w:rPr>
                <w:rFonts w:ascii="仿宋" w:hAnsi="仿宋" w:eastAsia="仿宋" w:cs="仿宋"/>
                <w:sz w:val="24"/>
              </w:rPr>
            </w:pPr>
          </w:p>
          <w:p w14:paraId="2371BD22">
            <w:pPr>
              <w:spacing w:line="360" w:lineRule="auto"/>
              <w:rPr>
                <w:rFonts w:ascii="仿宋" w:hAnsi="仿宋" w:eastAsia="仿宋" w:cs="仿宋"/>
                <w:sz w:val="24"/>
              </w:rPr>
            </w:pPr>
            <w:r>
              <w:rPr>
                <w:rFonts w:hint="eastAsia" w:ascii="仿宋" w:hAnsi="仿宋" w:eastAsia="仿宋" w:cs="仿宋"/>
                <w:sz w:val="24"/>
              </w:rPr>
              <w:t>3.结合学生分析结果及案例归纳讲解科研越轨行为的危害</w:t>
            </w:r>
          </w:p>
          <w:p w14:paraId="72F80D68">
            <w:pPr>
              <w:spacing w:line="360" w:lineRule="auto"/>
              <w:rPr>
                <w:rFonts w:ascii="仿宋" w:hAnsi="仿宋" w:eastAsia="仿宋" w:cs="仿宋"/>
                <w:sz w:val="24"/>
              </w:rPr>
            </w:pPr>
          </w:p>
        </w:tc>
        <w:tc>
          <w:tcPr>
            <w:tcW w:w="2895" w:type="dxa"/>
            <w:vAlign w:val="top"/>
          </w:tcPr>
          <w:p w14:paraId="17ADECB1">
            <w:pPr>
              <w:spacing w:line="360" w:lineRule="auto"/>
              <w:jc w:val="left"/>
              <w:rPr>
                <w:rFonts w:ascii="仿宋" w:hAnsi="仿宋" w:eastAsia="仿宋" w:cs="仿宋"/>
                <w:sz w:val="24"/>
              </w:rPr>
            </w:pPr>
            <w:r>
              <w:rPr>
                <w:rFonts w:hint="eastAsia" w:ascii="仿宋" w:hAnsi="仿宋" w:eastAsia="仿宋" w:cs="仿宋"/>
                <w:sz w:val="24"/>
              </w:rPr>
              <w:t>1.聆听、思考</w:t>
            </w:r>
          </w:p>
          <w:p w14:paraId="72FC3CA0">
            <w:pPr>
              <w:spacing w:line="360" w:lineRule="auto"/>
              <w:jc w:val="left"/>
              <w:rPr>
                <w:rFonts w:ascii="仿宋" w:hAnsi="仿宋" w:eastAsia="仿宋" w:cs="仿宋"/>
                <w:sz w:val="24"/>
              </w:rPr>
            </w:pPr>
          </w:p>
          <w:p w14:paraId="2192E935">
            <w:pPr>
              <w:spacing w:line="360" w:lineRule="auto"/>
              <w:jc w:val="left"/>
              <w:rPr>
                <w:rFonts w:ascii="仿宋" w:hAnsi="仿宋" w:eastAsia="仿宋" w:cs="仿宋"/>
                <w:sz w:val="24"/>
              </w:rPr>
            </w:pPr>
          </w:p>
          <w:p w14:paraId="6ACA6A4F">
            <w:pPr>
              <w:spacing w:line="360" w:lineRule="auto"/>
              <w:jc w:val="left"/>
              <w:rPr>
                <w:rFonts w:ascii="仿宋" w:hAnsi="仿宋" w:eastAsia="仿宋" w:cs="仿宋"/>
                <w:sz w:val="24"/>
              </w:rPr>
            </w:pPr>
          </w:p>
          <w:p w14:paraId="4E7FFC1B">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24E53D54">
            <w:pPr>
              <w:spacing w:line="360" w:lineRule="auto"/>
              <w:jc w:val="left"/>
              <w:rPr>
                <w:rFonts w:ascii="仿宋" w:hAnsi="仿宋" w:eastAsia="仿宋" w:cs="仿宋"/>
                <w:sz w:val="24"/>
              </w:rPr>
            </w:pPr>
          </w:p>
          <w:p w14:paraId="7D026AB5">
            <w:pPr>
              <w:spacing w:line="360" w:lineRule="auto"/>
              <w:jc w:val="left"/>
              <w:rPr>
                <w:rFonts w:ascii="仿宋" w:hAnsi="仿宋" w:eastAsia="仿宋" w:cs="仿宋"/>
                <w:sz w:val="24"/>
              </w:rPr>
            </w:pPr>
          </w:p>
          <w:p w14:paraId="69F9F410">
            <w:pPr>
              <w:spacing w:line="360" w:lineRule="auto"/>
              <w:jc w:val="left"/>
              <w:rPr>
                <w:rFonts w:ascii="仿宋" w:hAnsi="仿宋" w:eastAsia="仿宋" w:cs="仿宋"/>
                <w:sz w:val="24"/>
              </w:rPr>
            </w:pPr>
          </w:p>
          <w:p w14:paraId="5EB774E3">
            <w:pPr>
              <w:spacing w:line="360" w:lineRule="auto"/>
              <w:jc w:val="left"/>
              <w:rPr>
                <w:rFonts w:ascii="仿宋" w:hAnsi="仿宋" w:eastAsia="仿宋" w:cs="仿宋"/>
                <w:sz w:val="24"/>
              </w:rPr>
            </w:pPr>
          </w:p>
          <w:p w14:paraId="5D68EC48">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368" w:type="dxa"/>
            <w:vAlign w:val="top"/>
          </w:tcPr>
          <w:p w14:paraId="0CC5DB76">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“概念”-“伦理分析能力”-“伦理规范”</w:t>
            </w:r>
            <w:r>
              <w:rPr>
                <w:rFonts w:hint="eastAsia" w:ascii="仿宋" w:hAnsi="仿宋" w:eastAsia="仿宋" w:cs="仿宋"/>
                <w:sz w:val="24"/>
              </w:rPr>
              <w:t>的思路讲授科研越轨行为的危害的护理伦理内容，条例清楚，易于学生理解。</w:t>
            </w:r>
          </w:p>
          <w:p w14:paraId="5006E359">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03F77C88">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结合学生案例分析结果、教师归纳讲解使知识体系更完整，也易于学生理解和掌握。通过科研越轨行为的危害的护理伦理</w:t>
            </w:r>
            <w:r>
              <w:rPr>
                <w:rFonts w:hint="eastAsia" w:ascii="仿宋" w:hAnsi="仿宋" w:eastAsia="仿宋" w:cs="仿宋"/>
                <w:b/>
                <w:bCs/>
                <w:color w:val="FF0000"/>
                <w:sz w:val="24"/>
              </w:rPr>
              <w:t>启发学生积极向上、务实严谨、创新探索的精神</w:t>
            </w:r>
          </w:p>
        </w:tc>
      </w:tr>
      <w:tr w14:paraId="643B4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11FF4140">
            <w:pPr>
              <w:spacing w:line="360" w:lineRule="auto"/>
              <w:jc w:val="left"/>
              <w:rPr>
                <w:rFonts w:ascii="仿宋" w:hAnsi="仿宋" w:eastAsia="仿宋" w:cs="仿宋"/>
                <w:sz w:val="24"/>
              </w:rPr>
            </w:pPr>
            <w:r>
              <w:rPr>
                <w:rFonts w:hint="eastAsia" w:ascii="仿宋" w:hAnsi="仿宋" w:eastAsia="仿宋" w:cs="仿宋"/>
                <w:sz w:val="24"/>
              </w:rPr>
              <w:t>科研越轨行为的危害及社会控制（三）</w:t>
            </w:r>
            <w:r>
              <w:rPr>
                <w:rFonts w:ascii="仿宋" w:hAnsi="仿宋" w:eastAsia="仿宋" w:cs="仿宋"/>
                <w:sz w:val="24"/>
              </w:rPr>
              <w:t xml:space="preserve">             </w:t>
            </w:r>
          </w:p>
          <w:p w14:paraId="54F0C538">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1400" cy="1162050"/>
                  <wp:effectExtent l="0" t="0" r="6350" b="0"/>
                  <wp:docPr id="80" name="图片 5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5" descr="4"/>
                          <pic:cNvPicPr>
                            <a:picLocks noChangeAspect="1"/>
                          </pic:cNvPicPr>
                        </pic:nvPicPr>
                        <pic:blipFill>
                          <a:blip r:embed="rId16"/>
                          <a:srcRect l="6790" t="15430" r="6172" b="51814"/>
                          <a:stretch>
                            <a:fillRect/>
                          </a:stretch>
                        </pic:blipFill>
                        <pic:spPr>
                          <a:xfrm>
                            <a:off x="0" y="0"/>
                            <a:ext cx="1041400" cy="1162050"/>
                          </a:xfrm>
                          <a:prstGeom prst="rect">
                            <a:avLst/>
                          </a:prstGeom>
                          <a:noFill/>
                          <a:ln>
                            <a:noFill/>
                          </a:ln>
                        </pic:spPr>
                      </pic:pic>
                    </a:graphicData>
                  </a:graphic>
                </wp:inline>
              </w:drawing>
            </w:r>
          </w:p>
        </w:tc>
        <w:tc>
          <w:tcPr>
            <w:tcW w:w="2430" w:type="dxa"/>
            <w:vAlign w:val="top"/>
          </w:tcPr>
          <w:p w14:paraId="5771C183">
            <w:pPr>
              <w:spacing w:line="360" w:lineRule="auto"/>
              <w:rPr>
                <w:rFonts w:ascii="仿宋" w:hAnsi="仿宋" w:eastAsia="仿宋" w:cs="仿宋"/>
                <w:sz w:val="24"/>
              </w:rPr>
            </w:pPr>
            <w:r>
              <w:rPr>
                <w:rFonts w:hint="eastAsia" w:ascii="仿宋" w:hAnsi="仿宋" w:eastAsia="仿宋" w:cs="仿宋"/>
                <w:sz w:val="24"/>
              </w:rPr>
              <w:t>1.讲解科研越轨行为的社会控制</w:t>
            </w:r>
          </w:p>
          <w:p w14:paraId="007D707D">
            <w:pPr>
              <w:spacing w:line="360" w:lineRule="auto"/>
              <w:rPr>
                <w:rFonts w:ascii="仿宋" w:hAnsi="仿宋" w:eastAsia="仿宋" w:cs="仿宋"/>
                <w:sz w:val="24"/>
              </w:rPr>
            </w:pPr>
          </w:p>
          <w:p w14:paraId="6E747032">
            <w:pPr>
              <w:spacing w:line="360" w:lineRule="auto"/>
              <w:rPr>
                <w:rFonts w:ascii="仿宋" w:hAnsi="仿宋" w:eastAsia="仿宋" w:cs="仿宋"/>
                <w:sz w:val="24"/>
              </w:rPr>
            </w:pPr>
          </w:p>
          <w:p w14:paraId="27015E7F">
            <w:pPr>
              <w:spacing w:line="360" w:lineRule="auto"/>
              <w:rPr>
                <w:rFonts w:ascii="仿宋" w:hAnsi="仿宋" w:eastAsia="仿宋" w:cs="仿宋"/>
                <w:sz w:val="24"/>
              </w:rPr>
            </w:pPr>
            <w:r>
              <w:rPr>
                <w:rFonts w:hint="eastAsia" w:ascii="仿宋" w:hAnsi="仿宋" w:eastAsia="仿宋" w:cs="仿宋"/>
                <w:sz w:val="24"/>
              </w:rPr>
              <w:t>2.提供学生科研越轨行为的社会控制的案例，让学生分析科研越轨行为的社会控制有哪些</w:t>
            </w:r>
          </w:p>
          <w:p w14:paraId="28F84B8E">
            <w:pPr>
              <w:spacing w:line="360" w:lineRule="auto"/>
              <w:rPr>
                <w:rFonts w:ascii="仿宋" w:hAnsi="仿宋" w:eastAsia="仿宋" w:cs="仿宋"/>
                <w:sz w:val="24"/>
              </w:rPr>
            </w:pPr>
          </w:p>
          <w:p w14:paraId="7F31E1F5">
            <w:pPr>
              <w:spacing w:line="360" w:lineRule="auto"/>
              <w:rPr>
                <w:rFonts w:ascii="仿宋" w:hAnsi="仿宋" w:eastAsia="仿宋" w:cs="仿宋"/>
                <w:sz w:val="24"/>
              </w:rPr>
            </w:pPr>
          </w:p>
          <w:p w14:paraId="0D9EA0F4">
            <w:pPr>
              <w:spacing w:line="360" w:lineRule="auto"/>
              <w:rPr>
                <w:rFonts w:ascii="仿宋" w:hAnsi="仿宋" w:eastAsia="仿宋" w:cs="仿宋"/>
                <w:sz w:val="24"/>
              </w:rPr>
            </w:pPr>
            <w:r>
              <w:rPr>
                <w:rFonts w:hint="eastAsia" w:ascii="仿宋" w:hAnsi="仿宋" w:eastAsia="仿宋" w:cs="仿宋"/>
                <w:sz w:val="24"/>
              </w:rPr>
              <w:t>3.结合学生分析结果及案例归纳讲解科研越轨行为的社会控制</w:t>
            </w:r>
          </w:p>
          <w:p w14:paraId="2A2DBCC1">
            <w:pPr>
              <w:spacing w:line="360" w:lineRule="auto"/>
              <w:rPr>
                <w:rFonts w:ascii="仿宋" w:hAnsi="仿宋" w:eastAsia="仿宋" w:cs="仿宋"/>
                <w:sz w:val="24"/>
              </w:rPr>
            </w:pPr>
          </w:p>
        </w:tc>
        <w:tc>
          <w:tcPr>
            <w:tcW w:w="2895" w:type="dxa"/>
            <w:vAlign w:val="top"/>
          </w:tcPr>
          <w:p w14:paraId="72BF85ED">
            <w:pPr>
              <w:numPr>
                <w:ilvl w:val="0"/>
                <w:numId w:val="3"/>
              </w:numPr>
              <w:spacing w:line="360" w:lineRule="auto"/>
              <w:jc w:val="left"/>
              <w:rPr>
                <w:rFonts w:ascii="仿宋" w:hAnsi="仿宋" w:eastAsia="仿宋" w:cs="仿宋"/>
                <w:sz w:val="24"/>
              </w:rPr>
            </w:pPr>
            <w:r>
              <w:rPr>
                <w:rFonts w:hint="eastAsia" w:ascii="仿宋" w:hAnsi="仿宋" w:eastAsia="仿宋" w:cs="仿宋"/>
                <w:sz w:val="24"/>
              </w:rPr>
              <w:t>聆听、思考</w:t>
            </w:r>
          </w:p>
          <w:p w14:paraId="6B4758B8">
            <w:pPr>
              <w:spacing w:line="360" w:lineRule="auto"/>
              <w:jc w:val="left"/>
              <w:rPr>
                <w:rFonts w:ascii="仿宋" w:hAnsi="仿宋" w:eastAsia="仿宋" w:cs="仿宋"/>
                <w:sz w:val="24"/>
              </w:rPr>
            </w:pPr>
          </w:p>
          <w:p w14:paraId="6DF61AFA">
            <w:pPr>
              <w:spacing w:line="360" w:lineRule="auto"/>
              <w:jc w:val="left"/>
              <w:rPr>
                <w:rFonts w:ascii="仿宋" w:hAnsi="仿宋" w:eastAsia="仿宋" w:cs="仿宋"/>
                <w:sz w:val="24"/>
              </w:rPr>
            </w:pPr>
          </w:p>
          <w:p w14:paraId="246D24F6">
            <w:pPr>
              <w:spacing w:line="360" w:lineRule="auto"/>
              <w:jc w:val="left"/>
              <w:rPr>
                <w:rFonts w:ascii="仿宋" w:hAnsi="仿宋" w:eastAsia="仿宋" w:cs="仿宋"/>
                <w:sz w:val="24"/>
              </w:rPr>
            </w:pPr>
          </w:p>
          <w:p w14:paraId="5D374983">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12444440">
            <w:pPr>
              <w:spacing w:line="360" w:lineRule="auto"/>
              <w:jc w:val="left"/>
              <w:rPr>
                <w:rFonts w:ascii="仿宋" w:hAnsi="仿宋" w:eastAsia="仿宋" w:cs="仿宋"/>
                <w:sz w:val="24"/>
              </w:rPr>
            </w:pPr>
          </w:p>
          <w:p w14:paraId="3350AB7F">
            <w:pPr>
              <w:spacing w:line="360" w:lineRule="auto"/>
              <w:jc w:val="left"/>
              <w:rPr>
                <w:rFonts w:ascii="仿宋" w:hAnsi="仿宋" w:eastAsia="仿宋" w:cs="仿宋"/>
                <w:sz w:val="24"/>
              </w:rPr>
            </w:pPr>
          </w:p>
          <w:p w14:paraId="3EFF548E">
            <w:pPr>
              <w:spacing w:line="360" w:lineRule="auto"/>
              <w:jc w:val="left"/>
              <w:rPr>
                <w:rFonts w:ascii="仿宋" w:hAnsi="仿宋" w:eastAsia="仿宋" w:cs="仿宋"/>
                <w:sz w:val="24"/>
              </w:rPr>
            </w:pPr>
          </w:p>
          <w:p w14:paraId="12588696">
            <w:pPr>
              <w:spacing w:line="360" w:lineRule="auto"/>
              <w:jc w:val="left"/>
              <w:rPr>
                <w:rFonts w:ascii="仿宋" w:hAnsi="仿宋" w:eastAsia="仿宋" w:cs="仿宋"/>
                <w:sz w:val="24"/>
              </w:rPr>
            </w:pPr>
          </w:p>
          <w:p w14:paraId="426F7008">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368" w:type="dxa"/>
            <w:vAlign w:val="top"/>
          </w:tcPr>
          <w:p w14:paraId="4EEEBF3B">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“概念”-“伦理分析能力”-“伦理规范”</w:t>
            </w:r>
            <w:r>
              <w:rPr>
                <w:rFonts w:hint="eastAsia" w:ascii="仿宋" w:hAnsi="仿宋" w:eastAsia="仿宋" w:cs="仿宋"/>
                <w:sz w:val="24"/>
              </w:rPr>
              <w:t>的思路讲授科研越轨行为的社会控制的护理伦理内容，条例清楚，易于学生理解。</w:t>
            </w:r>
          </w:p>
          <w:p w14:paraId="2753A496">
            <w:pPr>
              <w:spacing w:line="360" w:lineRule="auto"/>
              <w:rPr>
                <w:rFonts w:ascii="仿宋" w:hAnsi="仿宋" w:eastAsia="仿宋" w:cs="仿宋"/>
                <w:sz w:val="24"/>
              </w:rPr>
            </w:pPr>
            <w:r>
              <w:rPr>
                <w:rFonts w:hint="eastAsia" w:ascii="仿宋" w:hAnsi="仿宋" w:eastAsia="仿宋" w:cs="仿宋"/>
                <w:sz w:val="24"/>
              </w:rPr>
              <w:t>。</w:t>
            </w:r>
          </w:p>
          <w:p w14:paraId="107DECE1">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185BA1DD">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结合学生案例分析结果、教师归纳讲解使知识体系更完整，也易于学生理解和掌握。通过科研越轨行为的社会控制要求</w:t>
            </w:r>
            <w:r>
              <w:rPr>
                <w:rFonts w:hint="eastAsia" w:ascii="仿宋" w:hAnsi="仿宋" w:eastAsia="仿宋" w:cs="仿宋"/>
                <w:b/>
                <w:bCs/>
                <w:color w:val="FF0000"/>
                <w:sz w:val="24"/>
              </w:rPr>
              <w:t>启发学认真负责、科学探索、不断创新的精神。</w:t>
            </w:r>
          </w:p>
        </w:tc>
      </w:tr>
      <w:tr w14:paraId="4A58A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1EDFD143">
            <w:pPr>
              <w:spacing w:line="360" w:lineRule="auto"/>
              <w:jc w:val="left"/>
              <w:rPr>
                <w:rFonts w:ascii="仿宋" w:hAnsi="仿宋" w:eastAsia="仿宋" w:cs="仿宋"/>
                <w:sz w:val="24"/>
              </w:rPr>
            </w:pPr>
            <w:r>
              <w:rPr>
                <w:rFonts w:hint="eastAsia" w:ascii="仿宋" w:hAnsi="仿宋" w:eastAsia="仿宋" w:cs="仿宋"/>
                <w:sz w:val="24"/>
              </w:rPr>
              <w:t xml:space="preserve">总结                       </w:t>
            </w:r>
          </w:p>
          <w:p w14:paraId="7D002A92">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1400" cy="687070"/>
                  <wp:effectExtent l="0" t="0" r="0" b="0"/>
                  <wp:docPr id="82" name="图片 5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6" descr="4"/>
                          <pic:cNvPicPr>
                            <a:picLocks noChangeAspect="1"/>
                          </pic:cNvPicPr>
                        </pic:nvPicPr>
                        <pic:blipFill>
                          <a:blip r:embed="rId16"/>
                          <a:srcRect l="6790" t="22607" r="6172" b="58025"/>
                          <a:stretch>
                            <a:fillRect/>
                          </a:stretch>
                        </pic:blipFill>
                        <pic:spPr>
                          <a:xfrm>
                            <a:off x="0" y="0"/>
                            <a:ext cx="1041400" cy="687070"/>
                          </a:xfrm>
                          <a:prstGeom prst="rect">
                            <a:avLst/>
                          </a:prstGeom>
                          <a:noFill/>
                          <a:ln>
                            <a:noFill/>
                          </a:ln>
                        </pic:spPr>
                      </pic:pic>
                    </a:graphicData>
                  </a:graphic>
                </wp:inline>
              </w:drawing>
            </w:r>
          </w:p>
        </w:tc>
        <w:tc>
          <w:tcPr>
            <w:tcW w:w="2430" w:type="dxa"/>
            <w:vAlign w:val="top"/>
          </w:tcPr>
          <w:p w14:paraId="0C0B454A">
            <w:pPr>
              <w:spacing w:line="360" w:lineRule="auto"/>
              <w:rPr>
                <w:rFonts w:ascii="仿宋" w:hAnsi="仿宋" w:eastAsia="仿宋" w:cs="仿宋"/>
                <w:sz w:val="24"/>
              </w:rPr>
            </w:pPr>
            <w:r>
              <w:rPr>
                <w:rFonts w:hint="eastAsia" w:ascii="仿宋" w:hAnsi="仿宋" w:eastAsia="仿宋" w:cs="仿宋"/>
                <w:sz w:val="24"/>
              </w:rPr>
              <w:t>结合思维导图呈现本节课知识脉络和重点内容</w:t>
            </w:r>
          </w:p>
        </w:tc>
        <w:tc>
          <w:tcPr>
            <w:tcW w:w="2895" w:type="dxa"/>
            <w:vAlign w:val="top"/>
          </w:tcPr>
          <w:p w14:paraId="5A6A5354">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回顾内容</w:t>
            </w:r>
          </w:p>
          <w:p w14:paraId="07C671E4">
            <w:pPr>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回答提问</w:t>
            </w:r>
          </w:p>
          <w:p w14:paraId="0F7DAC92">
            <w:pPr>
              <w:spacing w:line="360" w:lineRule="auto"/>
              <w:rPr>
                <w:rFonts w:ascii="仿宋" w:hAnsi="仿宋" w:eastAsia="仿宋" w:cs="仿宋"/>
                <w:sz w:val="24"/>
              </w:rPr>
            </w:pPr>
          </w:p>
        </w:tc>
        <w:tc>
          <w:tcPr>
            <w:tcW w:w="3368" w:type="dxa"/>
            <w:vAlign w:val="top"/>
          </w:tcPr>
          <w:p w14:paraId="7DC59FFC">
            <w:pPr>
              <w:spacing w:line="360" w:lineRule="auto"/>
              <w:rPr>
                <w:rFonts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63A06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5201AFB0">
            <w:pPr>
              <w:spacing w:line="360" w:lineRule="auto"/>
              <w:jc w:val="left"/>
              <w:rPr>
                <w:rFonts w:ascii="仿宋" w:hAnsi="仿宋" w:eastAsia="仿宋" w:cs="仿宋"/>
                <w:sz w:val="24"/>
              </w:rPr>
            </w:pPr>
            <w:r>
              <w:rPr>
                <w:rFonts w:hint="eastAsia" w:ascii="仿宋" w:hAnsi="仿宋" w:eastAsia="仿宋" w:cs="仿宋"/>
                <w:sz w:val="24"/>
              </w:rPr>
              <w:t>作业</w:t>
            </w:r>
            <w:r>
              <w:rPr>
                <w:rFonts w:ascii="仿宋" w:hAnsi="仿宋" w:eastAsia="仿宋" w:cs="仿宋"/>
                <w:sz w:val="24"/>
              </w:rPr>
              <w:t xml:space="preserve"> </w:t>
            </w:r>
          </w:p>
          <w:p w14:paraId="01886441">
            <w:pPr>
              <w:spacing w:line="360" w:lineRule="auto"/>
              <w:jc w:val="left"/>
              <w:rPr>
                <w:rFonts w:ascii="仿宋" w:hAnsi="仿宋" w:eastAsia="仿宋" w:cs="仿宋"/>
                <w:sz w:val="24"/>
              </w:rPr>
            </w:pPr>
          </w:p>
        </w:tc>
        <w:tc>
          <w:tcPr>
            <w:tcW w:w="2430" w:type="dxa"/>
            <w:vAlign w:val="top"/>
          </w:tcPr>
          <w:p w14:paraId="3A33050D">
            <w:pPr>
              <w:numPr>
                <w:ilvl w:val="0"/>
                <w:numId w:val="4"/>
              </w:numPr>
              <w:spacing w:line="360" w:lineRule="auto"/>
              <w:rPr>
                <w:rFonts w:ascii="仿宋" w:hAnsi="仿宋" w:eastAsia="仿宋" w:cs="仿宋"/>
                <w:sz w:val="24"/>
              </w:rPr>
            </w:pPr>
            <w:r>
              <w:rPr>
                <w:rFonts w:hint="eastAsia" w:ascii="仿宋" w:hAnsi="仿宋" w:eastAsia="仿宋" w:cs="仿宋"/>
                <w:sz w:val="24"/>
              </w:rPr>
              <w:t>课本上【直击护考】单元作业</w:t>
            </w:r>
          </w:p>
          <w:p w14:paraId="36FCF79D">
            <w:pPr>
              <w:numPr>
                <w:ilvl w:val="0"/>
                <w:numId w:val="4"/>
              </w:numPr>
              <w:spacing w:line="360" w:lineRule="auto"/>
              <w:rPr>
                <w:rFonts w:ascii="仿宋" w:hAnsi="仿宋" w:eastAsia="仿宋" w:cs="仿宋"/>
                <w:sz w:val="24"/>
              </w:rPr>
            </w:pPr>
            <w:r>
              <w:rPr>
                <w:rFonts w:hint="eastAsia" w:ascii="仿宋" w:hAnsi="仿宋" w:eastAsia="仿宋" w:cs="仿宋"/>
                <w:sz w:val="24"/>
              </w:rPr>
              <w:t>查阅职教云平台上案例分析资源</w:t>
            </w:r>
          </w:p>
        </w:tc>
        <w:tc>
          <w:tcPr>
            <w:tcW w:w="2895" w:type="dxa"/>
            <w:vAlign w:val="top"/>
          </w:tcPr>
          <w:p w14:paraId="60C505D9">
            <w:pPr>
              <w:numPr>
                <w:ilvl w:val="0"/>
                <w:numId w:val="5"/>
              </w:numPr>
              <w:spacing w:line="360" w:lineRule="auto"/>
              <w:rPr>
                <w:rFonts w:ascii="仿宋" w:hAnsi="仿宋" w:eastAsia="仿宋" w:cs="仿宋"/>
                <w:sz w:val="24"/>
              </w:rPr>
            </w:pPr>
            <w:r>
              <w:rPr>
                <w:rFonts w:hint="eastAsia" w:ascii="仿宋" w:hAnsi="仿宋" w:eastAsia="仿宋" w:cs="仿宋"/>
                <w:sz w:val="24"/>
              </w:rPr>
              <w:t>做课后练习题</w:t>
            </w:r>
          </w:p>
          <w:p w14:paraId="06D0A884">
            <w:pPr>
              <w:spacing w:line="360" w:lineRule="auto"/>
              <w:rPr>
                <w:rFonts w:ascii="仿宋" w:hAnsi="仿宋" w:eastAsia="仿宋" w:cs="仿宋"/>
                <w:sz w:val="24"/>
              </w:rPr>
            </w:pPr>
          </w:p>
          <w:p w14:paraId="375C03D3">
            <w:pPr>
              <w:spacing w:line="360" w:lineRule="auto"/>
              <w:rPr>
                <w:rFonts w:ascii="仿宋" w:hAnsi="仿宋" w:eastAsia="仿宋" w:cs="仿宋"/>
                <w:sz w:val="24"/>
              </w:rPr>
            </w:pPr>
            <w:r>
              <w:rPr>
                <w:rFonts w:hint="eastAsia" w:ascii="仿宋" w:hAnsi="仿宋" w:eastAsia="仿宋" w:cs="仿宋"/>
                <w:sz w:val="24"/>
              </w:rPr>
              <w:t>2.查阅资源，进行案例分析和知识应用</w:t>
            </w:r>
          </w:p>
          <w:p w14:paraId="694721F2">
            <w:pPr>
              <w:spacing w:line="360" w:lineRule="auto"/>
              <w:rPr>
                <w:rFonts w:ascii="仿宋" w:hAnsi="仿宋" w:eastAsia="仿宋" w:cs="仿宋"/>
                <w:sz w:val="24"/>
              </w:rPr>
            </w:pPr>
          </w:p>
        </w:tc>
        <w:tc>
          <w:tcPr>
            <w:tcW w:w="3368" w:type="dxa"/>
            <w:vAlign w:val="top"/>
          </w:tcPr>
          <w:p w14:paraId="2D686724">
            <w:pPr>
              <w:spacing w:line="360" w:lineRule="auto"/>
              <w:rPr>
                <w:rFonts w:ascii="仿宋" w:hAnsi="仿宋" w:eastAsia="仿宋" w:cs="仿宋"/>
                <w:sz w:val="24"/>
              </w:rPr>
            </w:pPr>
            <w:r>
              <w:rPr>
                <w:rFonts w:hint="eastAsia" w:ascii="仿宋" w:hAnsi="仿宋" w:eastAsia="仿宋" w:cs="仿宋"/>
                <w:sz w:val="24"/>
              </w:rPr>
              <w:t>通过课后作业、查阅资源，加强对知识的巩固，案例分析资源可提升知识运用的能力，协助培养</w:t>
            </w:r>
            <w:r>
              <w:rPr>
                <w:rFonts w:hint="eastAsia" w:ascii="仿宋" w:hAnsi="仿宋" w:eastAsia="仿宋" w:cs="仿宋"/>
                <w:b/>
                <w:bCs/>
                <w:color w:val="FF0000"/>
                <w:sz w:val="24"/>
              </w:rPr>
              <w:t>护理科研的护理伦理理念</w:t>
            </w:r>
            <w:r>
              <w:rPr>
                <w:rFonts w:hint="eastAsia" w:ascii="仿宋" w:hAnsi="仿宋" w:eastAsia="仿宋" w:cs="仿宋"/>
                <w:sz w:val="24"/>
              </w:rPr>
              <w:t>。</w:t>
            </w:r>
          </w:p>
        </w:tc>
      </w:tr>
      <w:tr w14:paraId="52782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7D1076F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（三）课后强巩固</w:t>
            </w:r>
          </w:p>
        </w:tc>
      </w:tr>
      <w:tr w14:paraId="78757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shd w:val="clear" w:color="auto" w:fill="DEEAF6"/>
            <w:vAlign w:val="top"/>
          </w:tcPr>
          <w:p w14:paraId="6CC8A52A">
            <w:pPr>
              <w:spacing w:line="360" w:lineRule="auto"/>
              <w:jc w:val="center"/>
              <w:rPr>
                <w:rFonts w:ascii="仿宋" w:hAnsi="仿宋" w:eastAsia="仿宋" w:cs="仿宋"/>
                <w:b/>
                <w:sz w:val="28"/>
                <w:szCs w:val="28"/>
              </w:rPr>
            </w:pPr>
            <w:r>
              <w:rPr>
                <w:rFonts w:hint="eastAsia" w:ascii="仿宋" w:hAnsi="仿宋" w:eastAsia="仿宋" w:cs="仿宋"/>
                <w:b/>
                <w:bCs/>
                <w:sz w:val="28"/>
                <w:szCs w:val="28"/>
              </w:rPr>
              <w:t>课后任务</w:t>
            </w:r>
          </w:p>
        </w:tc>
        <w:tc>
          <w:tcPr>
            <w:tcW w:w="2430" w:type="dxa"/>
            <w:shd w:val="clear" w:color="auto" w:fill="DEEAF6"/>
            <w:vAlign w:val="top"/>
          </w:tcPr>
          <w:p w14:paraId="6CF0CA2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895" w:type="dxa"/>
            <w:shd w:val="clear" w:color="auto" w:fill="DEEAF6"/>
            <w:vAlign w:val="top"/>
          </w:tcPr>
          <w:p w14:paraId="5A7EF62C">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368" w:type="dxa"/>
            <w:shd w:val="clear" w:color="auto" w:fill="DEEAF6"/>
            <w:vAlign w:val="top"/>
          </w:tcPr>
          <w:p w14:paraId="5101E357">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4724B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638734DE">
            <w:pPr>
              <w:spacing w:line="360" w:lineRule="auto"/>
              <w:rPr>
                <w:rFonts w:ascii="仿宋" w:hAnsi="仿宋" w:eastAsia="仿宋" w:cs="仿宋"/>
                <w:sz w:val="24"/>
              </w:rPr>
            </w:pPr>
            <w:r>
              <w:rPr>
                <w:rFonts w:hint="eastAsia" w:ascii="仿宋" w:hAnsi="仿宋" w:eastAsia="仿宋" w:cs="仿宋"/>
                <w:sz w:val="24"/>
              </w:rPr>
              <w:t>1.完成课后作业</w:t>
            </w:r>
          </w:p>
        </w:tc>
        <w:tc>
          <w:tcPr>
            <w:tcW w:w="2430" w:type="dxa"/>
            <w:vAlign w:val="top"/>
          </w:tcPr>
          <w:p w14:paraId="047996CA">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.发布课后作业任务要求</w:t>
            </w:r>
          </w:p>
        </w:tc>
        <w:tc>
          <w:tcPr>
            <w:tcW w:w="2895" w:type="dxa"/>
            <w:vAlign w:val="top"/>
          </w:tcPr>
          <w:p w14:paraId="7F8F71B4">
            <w:pPr>
              <w:spacing w:line="360" w:lineRule="auto"/>
              <w:rPr>
                <w:rFonts w:ascii="仿宋" w:hAnsi="仿宋" w:eastAsia="仿宋" w:cs="仿宋"/>
                <w:sz w:val="24"/>
              </w:rPr>
            </w:pPr>
            <w:r>
              <w:rPr>
                <w:rFonts w:hint="eastAsia" w:ascii="仿宋" w:hAnsi="仿宋" w:eastAsia="仿宋" w:cs="仿宋"/>
                <w:sz w:val="24"/>
              </w:rPr>
              <w:t>1.初步完成课后作业</w:t>
            </w:r>
          </w:p>
        </w:tc>
        <w:tc>
          <w:tcPr>
            <w:tcW w:w="3368" w:type="dxa"/>
            <w:vAlign w:val="top"/>
          </w:tcPr>
          <w:p w14:paraId="41BBF5C2">
            <w:pPr>
              <w:spacing w:line="360" w:lineRule="auto"/>
              <w:rPr>
                <w:rFonts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6A514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79" w:type="dxa"/>
            <w:vAlign w:val="top"/>
          </w:tcPr>
          <w:p w14:paraId="077FAECA">
            <w:pPr>
              <w:spacing w:line="360" w:lineRule="auto"/>
              <w:rPr>
                <w:rFonts w:ascii="仿宋" w:hAnsi="仿宋" w:eastAsia="仿宋" w:cs="仿宋"/>
                <w:sz w:val="24"/>
              </w:rPr>
            </w:pPr>
            <w:r>
              <w:rPr>
                <w:rFonts w:hint="eastAsia" w:ascii="仿宋" w:hAnsi="仿宋" w:eastAsia="仿宋" w:cs="仿宋"/>
                <w:sz w:val="24"/>
              </w:rPr>
              <w:t>2.线上学习</w:t>
            </w:r>
          </w:p>
        </w:tc>
        <w:tc>
          <w:tcPr>
            <w:tcW w:w="2430" w:type="dxa"/>
            <w:vAlign w:val="top"/>
          </w:tcPr>
          <w:p w14:paraId="5C659364">
            <w:pPr>
              <w:spacing w:line="360" w:lineRule="auto"/>
              <w:rPr>
                <w:rFonts w:ascii="仿宋" w:hAnsi="仿宋" w:eastAsia="仿宋" w:cs="仿宋"/>
                <w:sz w:val="24"/>
              </w:rPr>
            </w:pPr>
            <w:r>
              <w:rPr>
                <w:rFonts w:hint="eastAsia" w:ascii="仿宋" w:hAnsi="仿宋" w:eastAsia="仿宋" w:cs="仿宋"/>
                <w:sz w:val="24"/>
              </w:rPr>
              <w:t>2.在职教云平台上传案例</w:t>
            </w:r>
          </w:p>
        </w:tc>
        <w:tc>
          <w:tcPr>
            <w:tcW w:w="2895" w:type="dxa"/>
            <w:vAlign w:val="top"/>
          </w:tcPr>
          <w:p w14:paraId="625941BA">
            <w:pPr>
              <w:spacing w:line="360" w:lineRule="auto"/>
              <w:rPr>
                <w:rFonts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3368" w:type="dxa"/>
            <w:vAlign w:val="top"/>
          </w:tcPr>
          <w:p w14:paraId="6DDB3418">
            <w:pPr>
              <w:spacing w:line="360" w:lineRule="auto"/>
              <w:rPr>
                <w:rFonts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03D5F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741F8CD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（四）课后反思</w:t>
            </w:r>
          </w:p>
        </w:tc>
      </w:tr>
      <w:tr w14:paraId="09D50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5A30983A">
            <w:pPr>
              <w:spacing w:line="360" w:lineRule="auto"/>
              <w:jc w:val="center"/>
              <w:rPr>
                <w:rFonts w:ascii="仿宋" w:hAnsi="仿宋" w:eastAsia="仿宋" w:cs="仿宋"/>
                <w:b/>
                <w:bCs/>
                <w:sz w:val="28"/>
                <w:szCs w:val="28"/>
              </w:rPr>
            </w:pPr>
          </w:p>
          <w:p w14:paraId="11D04950">
            <w:pPr>
              <w:spacing w:line="360" w:lineRule="auto"/>
              <w:jc w:val="center"/>
              <w:rPr>
                <w:rFonts w:ascii="仿宋" w:hAnsi="仿宋" w:eastAsia="仿宋" w:cs="仿宋"/>
                <w:b/>
                <w:bCs/>
                <w:sz w:val="28"/>
                <w:szCs w:val="28"/>
              </w:rPr>
            </w:pPr>
          </w:p>
          <w:p w14:paraId="128D07ED">
            <w:pPr>
              <w:spacing w:line="360" w:lineRule="auto"/>
              <w:jc w:val="center"/>
              <w:rPr>
                <w:rFonts w:ascii="仿宋" w:hAnsi="仿宋" w:eastAsia="仿宋" w:cs="仿宋"/>
                <w:b/>
                <w:bCs/>
                <w:sz w:val="28"/>
                <w:szCs w:val="28"/>
              </w:rPr>
            </w:pPr>
          </w:p>
          <w:p w14:paraId="78857DE6">
            <w:pPr>
              <w:spacing w:line="360" w:lineRule="auto"/>
              <w:jc w:val="center"/>
              <w:rPr>
                <w:rFonts w:ascii="仿宋" w:hAnsi="仿宋" w:eastAsia="仿宋" w:cs="仿宋"/>
                <w:b/>
                <w:bCs/>
                <w:sz w:val="28"/>
                <w:szCs w:val="28"/>
              </w:rPr>
            </w:pPr>
          </w:p>
          <w:p w14:paraId="7522A7B4">
            <w:pPr>
              <w:spacing w:line="360" w:lineRule="auto"/>
              <w:jc w:val="center"/>
              <w:rPr>
                <w:rFonts w:ascii="仿宋" w:hAnsi="仿宋" w:eastAsia="仿宋" w:cs="仿宋"/>
                <w:b/>
                <w:bCs/>
                <w:sz w:val="28"/>
                <w:szCs w:val="28"/>
              </w:rPr>
            </w:pPr>
          </w:p>
          <w:p w14:paraId="78E42950">
            <w:pPr>
              <w:spacing w:line="360" w:lineRule="auto"/>
              <w:rPr>
                <w:rFonts w:ascii="仿宋" w:hAnsi="仿宋" w:eastAsia="仿宋" w:cs="仿宋"/>
                <w:b/>
                <w:bCs/>
                <w:sz w:val="28"/>
                <w:szCs w:val="28"/>
              </w:rPr>
            </w:pPr>
          </w:p>
        </w:tc>
      </w:tr>
    </w:tbl>
    <w:p w14:paraId="6E46F5AE">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64C948CD-FD80-4EB9-A5D6-64A73D4A7037}"/>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AA0BE1A3-26E1-473A-BFBC-4C57778F6175}"/>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709787"/>
    <w:multiLevelType w:val="singleLevel"/>
    <w:tmpl w:val="AB709787"/>
    <w:lvl w:ilvl="0" w:tentative="0">
      <w:start w:val="1"/>
      <w:numFmt w:val="decimal"/>
      <w:lvlText w:val="%1."/>
      <w:lvlJc w:val="left"/>
      <w:pPr>
        <w:tabs>
          <w:tab w:val="left" w:pos="312"/>
        </w:tabs>
      </w:pPr>
    </w:lvl>
  </w:abstractNum>
  <w:abstractNum w:abstractNumId="1">
    <w:nsid w:val="B1AB1591"/>
    <w:multiLevelType w:val="singleLevel"/>
    <w:tmpl w:val="B1AB1591"/>
    <w:lvl w:ilvl="0" w:tentative="0">
      <w:start w:val="1"/>
      <w:numFmt w:val="decimal"/>
      <w:lvlText w:val="%1."/>
      <w:lvlJc w:val="left"/>
      <w:pPr>
        <w:tabs>
          <w:tab w:val="left" w:pos="312"/>
        </w:tabs>
      </w:pPr>
    </w:lvl>
  </w:abstractNum>
  <w:abstractNum w:abstractNumId="2">
    <w:nsid w:val="F691E740"/>
    <w:multiLevelType w:val="singleLevel"/>
    <w:tmpl w:val="F691E740"/>
    <w:lvl w:ilvl="0" w:tentative="0">
      <w:start w:val="1"/>
      <w:numFmt w:val="decimal"/>
      <w:lvlText w:val="%1."/>
      <w:lvlJc w:val="left"/>
      <w:pPr>
        <w:tabs>
          <w:tab w:val="left" w:pos="312"/>
        </w:tabs>
      </w:pPr>
    </w:lvl>
  </w:abstractNum>
  <w:abstractNum w:abstractNumId="3">
    <w:nsid w:val="16962E9F"/>
    <w:multiLevelType w:val="singleLevel"/>
    <w:tmpl w:val="16962E9F"/>
    <w:lvl w:ilvl="0" w:tentative="0">
      <w:start w:val="1"/>
      <w:numFmt w:val="decimal"/>
      <w:lvlText w:val="%1."/>
      <w:lvlJc w:val="left"/>
      <w:pPr>
        <w:tabs>
          <w:tab w:val="left" w:pos="312"/>
        </w:tabs>
      </w:pPr>
    </w:lvl>
  </w:abstractNum>
  <w:abstractNum w:abstractNumId="4">
    <w:nsid w:val="2A281949"/>
    <w:multiLevelType w:val="singleLevel"/>
    <w:tmpl w:val="2A281949"/>
    <w:lvl w:ilvl="0" w:tentative="0">
      <w:start w:val="1"/>
      <w:numFmt w:val="decimal"/>
      <w:lvlText w:val="%1."/>
      <w:lvlJc w:val="left"/>
      <w:pPr>
        <w:tabs>
          <w:tab w:val="left" w:pos="312"/>
        </w:tabs>
      </w:p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D46B7"/>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CCD48BE"/>
    <w:rsid w:val="0E3C75E8"/>
    <w:rsid w:val="18185587"/>
    <w:rsid w:val="184F0EEE"/>
    <w:rsid w:val="18B879FE"/>
    <w:rsid w:val="1FB84519"/>
    <w:rsid w:val="2003061B"/>
    <w:rsid w:val="20F13C9B"/>
    <w:rsid w:val="238347DF"/>
    <w:rsid w:val="24B477DD"/>
    <w:rsid w:val="259557B7"/>
    <w:rsid w:val="278141AB"/>
    <w:rsid w:val="28B578A7"/>
    <w:rsid w:val="29C410CB"/>
    <w:rsid w:val="2B6366C1"/>
    <w:rsid w:val="2B937D0B"/>
    <w:rsid w:val="309F1652"/>
    <w:rsid w:val="322A12C5"/>
    <w:rsid w:val="34AD60CD"/>
    <w:rsid w:val="34B67F89"/>
    <w:rsid w:val="3667350A"/>
    <w:rsid w:val="368D542E"/>
    <w:rsid w:val="369260AD"/>
    <w:rsid w:val="388B134B"/>
    <w:rsid w:val="399B1010"/>
    <w:rsid w:val="3C8D6DE4"/>
    <w:rsid w:val="436C72A2"/>
    <w:rsid w:val="43CD7F64"/>
    <w:rsid w:val="44B33A23"/>
    <w:rsid w:val="45C91BBA"/>
    <w:rsid w:val="48847404"/>
    <w:rsid w:val="49B62C9D"/>
    <w:rsid w:val="49F8701E"/>
    <w:rsid w:val="4C7F0E23"/>
    <w:rsid w:val="4DE374C2"/>
    <w:rsid w:val="500B2D00"/>
    <w:rsid w:val="528F117E"/>
    <w:rsid w:val="530C5752"/>
    <w:rsid w:val="533C039D"/>
    <w:rsid w:val="53A000C2"/>
    <w:rsid w:val="582E68E8"/>
    <w:rsid w:val="5A7C6694"/>
    <w:rsid w:val="5C2F70CC"/>
    <w:rsid w:val="5EE27322"/>
    <w:rsid w:val="5F076D88"/>
    <w:rsid w:val="5FFC3909"/>
    <w:rsid w:val="600E33E1"/>
    <w:rsid w:val="622A303A"/>
    <w:rsid w:val="65201B06"/>
    <w:rsid w:val="6B171288"/>
    <w:rsid w:val="701B1D7B"/>
    <w:rsid w:val="7058635C"/>
    <w:rsid w:val="71C254BD"/>
    <w:rsid w:val="723010AC"/>
    <w:rsid w:val="724E4FA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4.jpeg"/><Relationship Id="rId15" Type="http://schemas.openxmlformats.org/officeDocument/2006/relationships/image" Target="media/image13.jpeg"/><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2084</Words>
  <Characters>2142</Characters>
  <Lines>1</Lines>
  <Paragraphs>1</Paragraphs>
  <TotalTime>2</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2025-07-24T01:49:06Z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7D70F537E07940219685BC04E60A9B02_13</vt:lpwstr>
  </property>
  <property fmtid="{D5CDD505-2E9C-101B-9397-08002B2CF9AE}" pid="4" name="KSOTemplateDocerSaveRecord">
    <vt:lpwstr>eyJoZGlkIjoiOTcxZjc4Y2ViNTBlZDVmZTI3YTAxZGE1NWVmM2E2NDEiLCJ1c2VySWQiOiI0MDMzMDA2MzYifQ==</vt:lpwstr>
  </property>
</Properties>
</file>